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8E" w:rsidRDefault="00726B76">
      <w:pPr>
        <w:spacing w:after="160" w:line="259" w:lineRule="auto"/>
      </w:pPr>
      <w:r>
        <w:rPr>
          <w:noProof/>
          <w:sz w:val="20"/>
        </w:rPr>
        <w:drawing>
          <wp:anchor distT="0" distB="0" distL="114300" distR="114300" simplePos="0" relativeHeight="251624958" behindDoc="1" locked="0" layoutInCell="1" allowOverlap="1">
            <wp:simplePos x="0" y="0"/>
            <wp:positionH relativeFrom="margin">
              <wp:align>left</wp:align>
            </wp:positionH>
            <wp:positionV relativeFrom="paragraph">
              <wp:posOffset>-5</wp:posOffset>
            </wp:positionV>
            <wp:extent cx="3381375" cy="476250"/>
            <wp:effectExtent l="0" t="0" r="9525" b="0"/>
            <wp:wrapTight wrapText="bothSides">
              <wp:wrapPolygon edited="0">
                <wp:start x="0" y="0"/>
                <wp:lineTo x="0" y="20736"/>
                <wp:lineTo x="21539" y="20736"/>
                <wp:lineTo x="21539" y="0"/>
                <wp:lineTo x="0" y="0"/>
              </wp:wrapPolygon>
            </wp:wrapTight>
            <wp:docPr id="9"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mobile/Containers/Data/Application/CB211C78-75AB-488D-BC2B-C78FFC436001/tmp/image1.jpeg"/>
                    <pic:cNvPicPr>
                      <a:picLocks noChangeAspect="1" noChangeArrowheads="1"/>
                    </pic:cNvPicPr>
                  </pic:nvPicPr>
                  <pic:blipFill>
                    <a:blip r:embed="rId5" cstate="print"/>
                    <a:srcRect/>
                    <a:stretch>
                      <a:fillRect/>
                    </a:stretch>
                  </pic:blipFill>
                  <pic:spPr>
                    <a:xfrm>
                      <a:off x="0" y="0"/>
                      <a:ext cx="3381375" cy="476250"/>
                    </a:xfrm>
                    <a:prstGeom prst="rect">
                      <a:avLst/>
                    </a:prstGeom>
                    <a:noFill/>
                    <a:ln cap="flat">
                      <a:noFill/>
                    </a:ln>
                  </pic:spPr>
                </pic:pic>
              </a:graphicData>
            </a:graphic>
          </wp:anchor>
        </w:drawing>
      </w:r>
      <w:r>
        <w:t xml:space="preserve"> </w:t>
      </w:r>
    </w:p>
    <w:p w:rsidR="0037048E" w:rsidRDefault="0037048E">
      <w:pPr>
        <w:spacing w:after="160" w:line="259" w:lineRule="auto"/>
        <w:rPr>
          <w:rFonts w:ascii="Arial" w:eastAsia="Arial" w:hAnsi="Arial"/>
          <w:b/>
          <w:sz w:val="24"/>
          <w:szCs w:val="24"/>
        </w:rPr>
      </w:pPr>
    </w:p>
    <w:p w:rsidR="0037048E" w:rsidRDefault="00726B76">
      <w:pPr>
        <w:jc w:val="both"/>
        <w:rPr>
          <w:rFonts w:ascii="Arial" w:eastAsia="Times New Roman" w:hAnsi="Times New Roman"/>
          <w:b/>
          <w:sz w:val="24"/>
          <w:szCs w:val="24"/>
        </w:rPr>
      </w:pPr>
      <w:r>
        <w:rPr>
          <w:noProof/>
          <w:sz w:val="20"/>
        </w:rPr>
        <w:pict w14:anchorId="03F149D5">
          <v:rect id="Rectangle 7" o:spid="_x0000_s1028" style="position:absolute;left:0;text-align:left;margin-left:-4pt;margin-top:21pt;width:447pt;height:29pt;z-index:251624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" strokeweight=".25pt">
            <v:stroke joinstyle="round"/>
            <v:textbox style="mso-next-textbox:#Rectangle 7;mso-fit-shape-to-text:t" inset="7pt,4pt,7pt,4pt">
              <w:txbxContent>
                <w:p w:rsidR="0021326A" w:rsidRDefault="00726B76">
                  <w:pPr>
                    <w:pStyle w:val="NoSpacing"/>
                    <w:rPr>
                      <w:rFonts w:ascii="Arial" w:eastAsia="Arial" w:hAnsi="Arial"/>
                      <w:b/>
                      <w:sz w:val="24"/>
                      <w:szCs w:val="24"/>
                    </w:rPr>
                  </w:pPr>
                  <w:r>
                    <w:rPr>
                      <w:rFonts w:ascii="Arial" w:eastAsia="Malgun Gothic" w:hAnsi="Malgun Gothic"/>
                      <w:b/>
                      <w:sz w:val="24"/>
                      <w:szCs w:val="24"/>
                    </w:rPr>
                    <w:t>Performance Committee 2</w:t>
                  </w:r>
                  <w:r>
                    <w:rPr>
                      <w:rFonts w:ascii="Arial" w:eastAsia="Malgun Gothic" w:hAnsi="Malgun Gothic"/>
                      <w:b/>
                      <w:sz w:val="24"/>
                      <w:szCs w:val="24"/>
                      <w:vertAlign w:val="superscript"/>
                    </w:rPr>
                    <w:t>nd</w:t>
                  </w:r>
                  <w:r>
                    <w:rPr>
                      <w:rFonts w:ascii="Arial" w:eastAsia="Malgun Gothic" w:hAnsi="Malgun Gothic"/>
                      <w:b/>
                      <w:sz w:val="24"/>
                      <w:szCs w:val="24"/>
                    </w:rPr>
                    <w:t xml:space="preserve"> September</w:t>
                  </w:r>
                  <w:r w:rsidR="00AF200D">
                    <w:rPr>
                      <w:rFonts w:ascii="Arial" w:eastAsia="Malgun Gothic" w:hAnsi="Malgun Gothic"/>
                      <w:b/>
                      <w:sz w:val="24"/>
                      <w:szCs w:val="24"/>
                    </w:rPr>
                    <w:t xml:space="preserve"> 2016 </w:t>
                  </w:r>
                  <w:r>
                    <w:rPr>
                      <w:rFonts w:ascii="Arial" w:eastAsia="Malgun Gothic" w:hAnsi="Malgun Gothic"/>
                      <w:b/>
                      <w:sz w:val="24"/>
                      <w:szCs w:val="24"/>
                    </w:rPr>
                    <w:t>–</w:t>
                  </w:r>
                  <w:r>
                    <w:rPr>
                      <w:rFonts w:ascii="Arial" w:eastAsia="Malgun Gothic" w:hAnsi="Malgun Gothic"/>
                      <w:b/>
                      <w:sz w:val="24"/>
                      <w:szCs w:val="24"/>
                    </w:rPr>
                    <w:t xml:space="preserve"> </w:t>
                  </w:r>
                  <w:r w:rsidR="00AF200D">
                    <w:rPr>
                      <w:rFonts w:ascii="Arial" w:eastAsia="Malgun Gothic" w:hAnsi="Malgun Gothic"/>
                      <w:b/>
                      <w:sz w:val="24"/>
                      <w:szCs w:val="24"/>
                    </w:rPr>
                    <w:t xml:space="preserve">City Deal </w:t>
                  </w:r>
                  <w:r>
                    <w:rPr>
                      <w:rFonts w:ascii="Arial" w:eastAsia="Malgun Gothic" w:hAnsi="Malgun Gothic"/>
                      <w:b/>
                      <w:sz w:val="24"/>
                      <w:szCs w:val="24"/>
                    </w:rPr>
                    <w:t>Chair</w:t>
                  </w:r>
                  <w:r>
                    <w:rPr>
                      <w:rFonts w:ascii="Arial" w:eastAsia="Malgun Gothic" w:hAnsi="Malgun Gothic"/>
                      <w:b/>
                      <w:sz w:val="24"/>
                      <w:szCs w:val="24"/>
                    </w:rPr>
                    <w:t>’</w:t>
                  </w:r>
                  <w:r>
                    <w:rPr>
                      <w:rFonts w:ascii="Arial" w:eastAsia="Malgun Gothic" w:hAnsi="Malgun Gothic"/>
                      <w:b/>
                      <w:sz w:val="24"/>
                      <w:szCs w:val="24"/>
                    </w:rPr>
                    <w:t xml:space="preserve">s Briefing Note  </w:t>
                  </w:r>
                </w:p>
              </w:txbxContent>
            </v:textbox>
            <w10:wrap type="square"/>
          </v:rect>
        </w:pict>
      </w:r>
    </w:p>
    <w:p w:rsidR="0037048E" w:rsidRDefault="0037048E">
      <w:pPr>
        <w:jc w:val="both"/>
        <w:rPr>
          <w:rFonts w:ascii="Arial" w:eastAsia="Arial" w:hAnsi="Arial"/>
          <w:sz w:val="24"/>
          <w:szCs w:val="24"/>
        </w:rPr>
      </w:pPr>
    </w:p>
    <w:p w:rsidR="0037048E" w:rsidRDefault="0037048E">
      <w:pPr>
        <w:jc w:val="both"/>
        <w:rPr>
          <w:rFonts w:ascii="Arial" w:eastAsia="Arial" w:hAnsi="Arial"/>
          <w:b/>
          <w:sz w:val="24"/>
          <w:szCs w:val="24"/>
        </w:rPr>
      </w:pPr>
    </w:p>
    <w:p w:rsidR="0037048E" w:rsidRDefault="00726B76" w:rsidP="00870380">
      <w:pPr>
        <w:jc w:val="both"/>
        <w:rPr>
          <w:rFonts w:ascii="Arial" w:eastAsia="Malgun Gothic" w:hAnsi="Malgun Gothic"/>
          <w:b/>
          <w:sz w:val="24"/>
          <w:szCs w:val="24"/>
        </w:rPr>
      </w:pPr>
      <w:r>
        <w:rPr>
          <w:rFonts w:ascii="Arial" w:eastAsia="Malgun Gothic" w:hAnsi="Malgun Gothic"/>
          <w:b/>
          <w:sz w:val="24"/>
          <w:szCs w:val="24"/>
        </w:rPr>
        <w:t xml:space="preserve">  </w:t>
      </w:r>
    </w:p>
    <w:p w:rsidR="00AF200D" w:rsidRDefault="00AF200D">
      <w:pPr>
        <w:spacing w:line="259" w:lineRule="auto"/>
        <w:jc w:val="both"/>
        <w:rPr>
          <w:rFonts w:ascii="Arial" w:eastAsia="Malgun Gothic" w:hAnsi="Malgun Gothic"/>
          <w:b/>
          <w:sz w:val="24"/>
          <w:szCs w:val="24"/>
        </w:rPr>
      </w:pPr>
    </w:p>
    <w:p w:rsidR="0037048E" w:rsidRDefault="00726B76">
      <w:pPr>
        <w:spacing w:line="259" w:lineRule="auto"/>
        <w:jc w:val="both"/>
        <w:rPr>
          <w:rFonts w:ascii="Arial" w:eastAsia="Malgun Gothic" w:hAnsi="Malgun Gothic"/>
          <w:b/>
          <w:sz w:val="24"/>
          <w:szCs w:val="24"/>
        </w:rPr>
      </w:pPr>
      <w:r w:rsidRPr="005C07FA">
        <w:rPr>
          <w:rFonts w:ascii="Arial" w:eastAsia="Malgun Gothic" w:hAnsi="Malgun Gothic"/>
          <w:b/>
          <w:sz w:val="24"/>
          <w:szCs w:val="24"/>
        </w:rPr>
        <w:t>Purpose of Briefing Note</w:t>
      </w:r>
    </w:p>
    <w:p w:rsidR="00AF200D" w:rsidRPr="005C07FA" w:rsidRDefault="00AF200D" w:rsidP="00AF200D">
      <w:pPr>
        <w:jc w:val="both"/>
        <w:rPr>
          <w:rFonts w:ascii="Arial" w:eastAsia="Arial" w:hAnsi="Arial"/>
          <w:b/>
          <w:sz w:val="24"/>
          <w:szCs w:val="24"/>
        </w:rPr>
      </w:pPr>
    </w:p>
    <w:p w:rsidR="0040492F" w:rsidRDefault="00726B76" w:rsidP="00AF200D">
      <w:pPr>
        <w:jc w:val="both"/>
        <w:rPr>
          <w:rFonts w:ascii="Arial" w:eastAsia="Malgun Gothic" w:hAnsi="Arial" w:cs="Arial"/>
          <w:sz w:val="24"/>
          <w:szCs w:val="24"/>
        </w:rPr>
      </w:pPr>
      <w:r w:rsidRPr="005C07FA">
        <w:rPr>
          <w:rFonts w:ascii="Arial" w:eastAsia="Malgun Gothic" w:hAnsi="Arial" w:cs="Arial"/>
          <w:sz w:val="24"/>
          <w:szCs w:val="24"/>
        </w:rPr>
        <w:t>The purpose of this Briefing Note is threefold:-</w:t>
      </w:r>
    </w:p>
    <w:p w:rsidR="00AF200D" w:rsidRPr="005C07FA" w:rsidRDefault="00AF200D" w:rsidP="00AF200D">
      <w:pPr>
        <w:jc w:val="both"/>
        <w:rPr>
          <w:rFonts w:ascii="Arial" w:eastAsia="Malgun Gothic" w:hAnsi="Arial" w:cs="Arial"/>
          <w:sz w:val="24"/>
          <w:szCs w:val="24"/>
        </w:rPr>
      </w:pPr>
    </w:p>
    <w:p w:rsidR="0040492F" w:rsidRDefault="00726B76" w:rsidP="00AF200D">
      <w:pPr>
        <w:pStyle w:val="ListParagraph"/>
        <w:numPr>
          <w:ilvl w:val="0"/>
          <w:numId w:val="7"/>
        </w:numPr>
        <w:jc w:val="both"/>
        <w:rPr>
          <w:rFonts w:ascii="Arial" w:eastAsia="Malgun Gothic" w:hAnsi="Arial" w:cs="Arial"/>
          <w:sz w:val="24"/>
          <w:szCs w:val="24"/>
        </w:rPr>
      </w:pPr>
      <w:r w:rsidRPr="005C07FA">
        <w:rPr>
          <w:rFonts w:ascii="Arial" w:eastAsia="Malgun Gothic" w:hAnsi="Arial" w:cs="Arial"/>
          <w:sz w:val="24"/>
          <w:szCs w:val="24"/>
        </w:rPr>
        <w:t xml:space="preserve">This first part of this briefing note provides a background summary on City Deal financial, governance and programme management arrangements along with a brief summary of </w:t>
      </w:r>
      <w:r w:rsidRPr="005C07FA">
        <w:rPr>
          <w:rFonts w:ascii="Arial" w:eastAsia="Malgun Gothic" w:hAnsi="Arial" w:cs="Arial"/>
          <w:sz w:val="24"/>
          <w:szCs w:val="24"/>
        </w:rPr>
        <w:t xml:space="preserve">the City Deal </w:t>
      </w:r>
      <w:r w:rsidRPr="005C07FA">
        <w:rPr>
          <w:rFonts w:ascii="Arial" w:eastAsia="Malgun Gothic" w:hAnsi="Arial" w:cs="Arial"/>
          <w:sz w:val="24"/>
          <w:szCs w:val="24"/>
        </w:rPr>
        <w:t>performance in the first 2 years</w:t>
      </w:r>
      <w:r w:rsidRPr="005C07FA">
        <w:rPr>
          <w:rFonts w:ascii="Arial" w:eastAsia="Malgun Gothic" w:hAnsi="Arial" w:cs="Arial"/>
          <w:sz w:val="24"/>
          <w:szCs w:val="24"/>
        </w:rPr>
        <w:t>.</w:t>
      </w:r>
    </w:p>
    <w:p w:rsidR="00AF200D" w:rsidRPr="005C07FA" w:rsidRDefault="00AF200D" w:rsidP="00AF200D">
      <w:pPr>
        <w:pStyle w:val="ListParagraph"/>
        <w:jc w:val="both"/>
        <w:rPr>
          <w:rFonts w:ascii="Arial" w:eastAsia="Malgun Gothic" w:hAnsi="Arial" w:cs="Arial"/>
          <w:sz w:val="24"/>
          <w:szCs w:val="24"/>
        </w:rPr>
      </w:pPr>
    </w:p>
    <w:p w:rsidR="0040492F" w:rsidRDefault="00726B76" w:rsidP="00AF200D">
      <w:pPr>
        <w:pStyle w:val="ListParagraph"/>
        <w:numPr>
          <w:ilvl w:val="0"/>
          <w:numId w:val="7"/>
        </w:numPr>
        <w:jc w:val="both"/>
        <w:rPr>
          <w:rFonts w:ascii="Arial" w:eastAsia="Malgun Gothic" w:hAnsi="Arial" w:cs="Arial"/>
          <w:sz w:val="24"/>
          <w:szCs w:val="24"/>
        </w:rPr>
      </w:pPr>
      <w:r w:rsidRPr="005C07FA">
        <w:rPr>
          <w:rFonts w:ascii="Arial" w:eastAsia="Malgun Gothic" w:hAnsi="Arial" w:cs="Arial"/>
          <w:sz w:val="24"/>
          <w:szCs w:val="24"/>
        </w:rPr>
        <w:t>The second part of the note briefly summa</w:t>
      </w:r>
      <w:r w:rsidRPr="00AF200D">
        <w:rPr>
          <w:rFonts w:ascii="Arial" w:eastAsia="Malgun Gothic" w:hAnsi="Arial" w:cs="Arial"/>
          <w:sz w:val="24"/>
          <w:szCs w:val="24"/>
        </w:rPr>
        <w:t>rises the work of the initial phases of the City Deal Resources Review currently underway alongside highlighting a number of arrangements already established to continuously challenge assumptions (in relation to del</w:t>
      </w:r>
      <w:r w:rsidRPr="00AF200D">
        <w:rPr>
          <w:rFonts w:ascii="Arial" w:eastAsia="Malgun Gothic" w:hAnsi="Arial" w:cs="Arial"/>
          <w:sz w:val="24"/>
          <w:szCs w:val="24"/>
        </w:rPr>
        <w:t xml:space="preserve">ivery, cost and income) made at the outset of the City Deal. </w:t>
      </w:r>
    </w:p>
    <w:p w:rsidR="00AF200D" w:rsidRPr="00AF200D" w:rsidRDefault="00AF200D" w:rsidP="00AF200D">
      <w:pPr>
        <w:jc w:val="both"/>
        <w:rPr>
          <w:rFonts w:ascii="Arial" w:eastAsia="Malgun Gothic" w:hAnsi="Arial" w:cs="Arial"/>
          <w:sz w:val="24"/>
          <w:szCs w:val="24"/>
        </w:rPr>
      </w:pPr>
    </w:p>
    <w:p w:rsidR="0037048E" w:rsidRPr="005C07FA" w:rsidRDefault="00726B76" w:rsidP="00AF200D">
      <w:pPr>
        <w:pStyle w:val="ListParagraph"/>
        <w:numPr>
          <w:ilvl w:val="0"/>
          <w:numId w:val="7"/>
        </w:numPr>
        <w:jc w:val="both"/>
        <w:rPr>
          <w:rFonts w:ascii="Arial" w:eastAsia="Malgun Gothic" w:hAnsi="Arial" w:cs="Arial"/>
          <w:sz w:val="24"/>
          <w:szCs w:val="24"/>
        </w:rPr>
      </w:pPr>
      <w:r w:rsidRPr="005C07FA">
        <w:rPr>
          <w:rFonts w:ascii="Arial" w:eastAsia="Malgun Gothic" w:hAnsi="Arial" w:cs="Arial"/>
          <w:sz w:val="24"/>
          <w:szCs w:val="24"/>
        </w:rPr>
        <w:t>T</w:t>
      </w:r>
      <w:r w:rsidRPr="005C07FA">
        <w:rPr>
          <w:rFonts w:ascii="Arial" w:eastAsia="Malgun Gothic" w:hAnsi="Arial" w:cs="Arial"/>
          <w:sz w:val="24"/>
          <w:szCs w:val="24"/>
        </w:rPr>
        <w:t xml:space="preserve">he third part of the note proposes a scope and methodology for further phases of the Resources Review for discussion and consideration with the Performance Committee. </w:t>
      </w:r>
    </w:p>
    <w:p w:rsidR="0037048E" w:rsidRPr="005C07FA" w:rsidRDefault="0037048E" w:rsidP="00AF200D">
      <w:pPr>
        <w:jc w:val="both"/>
        <w:rPr>
          <w:rFonts w:ascii="Arial" w:eastAsia="Arial" w:hAnsi="Arial"/>
          <w:b/>
          <w:sz w:val="24"/>
          <w:szCs w:val="24"/>
        </w:rPr>
      </w:pPr>
    </w:p>
    <w:p w:rsidR="0037048E" w:rsidRDefault="00726B76" w:rsidP="00AF200D">
      <w:pPr>
        <w:jc w:val="both"/>
        <w:rPr>
          <w:rFonts w:ascii="Arial" w:eastAsia="Arial" w:hAnsi="Arial"/>
          <w:b/>
          <w:sz w:val="24"/>
          <w:szCs w:val="24"/>
        </w:rPr>
      </w:pPr>
      <w:r>
        <w:rPr>
          <w:rFonts w:ascii="Arial" w:eastAsia="Malgun Gothic" w:hAnsi="Malgun Gothic"/>
          <w:b/>
          <w:sz w:val="24"/>
          <w:szCs w:val="24"/>
        </w:rPr>
        <w:t>1.</w:t>
      </w:r>
      <w:r>
        <w:rPr>
          <w:rFonts w:ascii="Arial" w:eastAsia="Malgun Gothic" w:hAnsi="Malgun Gothic"/>
          <w:b/>
          <w:sz w:val="24"/>
          <w:szCs w:val="24"/>
        </w:rPr>
        <w:tab/>
        <w:t>Background</w:t>
      </w:r>
    </w:p>
    <w:p w:rsidR="00AF200D" w:rsidRDefault="00AF200D" w:rsidP="00AF200D">
      <w:pPr>
        <w:jc w:val="both"/>
        <w:rPr>
          <w:rFonts w:ascii="Arial" w:eastAsia="Malgun Gothic" w:hAnsi="Malgun Gothic"/>
          <w:b/>
          <w:i/>
          <w:sz w:val="24"/>
          <w:szCs w:val="24"/>
        </w:rPr>
      </w:pPr>
    </w:p>
    <w:p w:rsidR="0037048E" w:rsidRDefault="00726B76" w:rsidP="00AF200D">
      <w:pPr>
        <w:ind w:left="720"/>
        <w:jc w:val="both"/>
        <w:rPr>
          <w:rFonts w:ascii="Arial" w:eastAsia="Malgun Gothic" w:hAnsi="Malgun Gothic"/>
          <w:sz w:val="24"/>
          <w:szCs w:val="24"/>
        </w:rPr>
      </w:pPr>
      <w:r>
        <w:rPr>
          <w:rFonts w:ascii="Arial" w:eastAsia="Malgun Gothic" w:hAnsi="Malgun Gothic"/>
          <w:b/>
          <w:i/>
          <w:sz w:val="24"/>
          <w:szCs w:val="24"/>
        </w:rPr>
        <w:t>Context</w:t>
      </w:r>
    </w:p>
    <w:p w:rsidR="0037048E" w:rsidRDefault="00726B76" w:rsidP="00AF200D">
      <w:pPr>
        <w:ind w:left="720"/>
        <w:jc w:val="both"/>
        <w:rPr>
          <w:rFonts w:ascii="Arial" w:eastAsia="Malgun Gothic" w:hAnsi="Malgun Gothic"/>
          <w:sz w:val="24"/>
          <w:szCs w:val="24"/>
        </w:rPr>
      </w:pPr>
      <w:r>
        <w:rPr>
          <w:rFonts w:ascii="Arial" w:eastAsia="Malgun Gothic" w:hAnsi="Malgun Gothic"/>
          <w:sz w:val="24"/>
          <w:szCs w:val="24"/>
        </w:rPr>
        <w:t>Th</w:t>
      </w:r>
      <w:r>
        <w:rPr>
          <w:rFonts w:ascii="Arial" w:eastAsia="Malgun Gothic" w:hAnsi="Malgun Gothic"/>
          <w:sz w:val="24"/>
          <w:szCs w:val="24"/>
        </w:rPr>
        <w:t>e City Deal</w:t>
      </w:r>
      <w:r>
        <w:rPr>
          <w:rFonts w:ascii="Arial" w:eastAsia="Malgun Gothic" w:hAnsi="Malgun Gothic"/>
          <w:sz w:val="24"/>
          <w:szCs w:val="24"/>
        </w:rPr>
        <w:t xml:space="preserve"> which comprises a 10 year programme</w:t>
      </w:r>
      <w:r>
        <w:rPr>
          <w:rFonts w:ascii="Arial" w:eastAsia="Malgun Gothic" w:hAnsi="Malgun Gothic"/>
          <w:sz w:val="24"/>
          <w:szCs w:val="24"/>
        </w:rPr>
        <w:t xml:space="preserve"> was signed by Government and the </w:t>
      </w:r>
      <w:r>
        <w:rPr>
          <w:rFonts w:ascii="Arial" w:eastAsia="Malgun Gothic" w:hAnsi="Malgun Gothic"/>
          <w:sz w:val="24"/>
          <w:szCs w:val="24"/>
        </w:rPr>
        <w:t xml:space="preserve">three Councils (South </w:t>
      </w:r>
      <w:proofErr w:type="spellStart"/>
      <w:r>
        <w:rPr>
          <w:rFonts w:ascii="Arial" w:eastAsia="Malgun Gothic" w:hAnsi="Malgun Gothic"/>
          <w:sz w:val="24"/>
          <w:szCs w:val="24"/>
        </w:rPr>
        <w:t>Ribble</w:t>
      </w:r>
      <w:proofErr w:type="spellEnd"/>
      <w:r>
        <w:rPr>
          <w:rFonts w:ascii="Arial" w:eastAsia="Malgun Gothic" w:hAnsi="Malgun Gothic"/>
          <w:sz w:val="24"/>
          <w:szCs w:val="24"/>
        </w:rPr>
        <w:t>, Preston and Lancashire) in 2013</w:t>
      </w:r>
      <w:r>
        <w:rPr>
          <w:rFonts w:ascii="Arial" w:eastAsia="Malgun Gothic" w:hAnsi="Malgun Gothic"/>
          <w:sz w:val="24"/>
          <w:szCs w:val="24"/>
        </w:rPr>
        <w:t xml:space="preserve">. The first year of implementation was </w:t>
      </w:r>
      <w:r>
        <w:rPr>
          <w:rFonts w:ascii="Arial" w:eastAsia="Malgun Gothic" w:hAnsi="Malgun Gothic"/>
          <w:sz w:val="24"/>
          <w:szCs w:val="24"/>
        </w:rPr>
        <w:t>2014/15. The core principle of the City Deal is that the Councils and Gover</w:t>
      </w:r>
      <w:r>
        <w:rPr>
          <w:rFonts w:ascii="Arial" w:eastAsia="Malgun Gothic" w:hAnsi="Malgun Gothic"/>
          <w:sz w:val="24"/>
          <w:szCs w:val="24"/>
        </w:rPr>
        <w:t xml:space="preserve">nment (via the Homes and Communities Agency - HCA) </w:t>
      </w:r>
      <w:r>
        <w:rPr>
          <w:rFonts w:ascii="Arial" w:eastAsia="Malgun Gothic" w:hAnsi="Malgun Gothic"/>
          <w:sz w:val="24"/>
          <w:szCs w:val="24"/>
        </w:rPr>
        <w:t xml:space="preserve">collectively </w:t>
      </w:r>
      <w:r>
        <w:rPr>
          <w:rFonts w:ascii="Arial" w:eastAsia="Malgun Gothic" w:hAnsi="Malgun Gothic"/>
          <w:sz w:val="24"/>
          <w:szCs w:val="24"/>
        </w:rPr>
        <w:t>pool</w:t>
      </w:r>
      <w:r>
        <w:rPr>
          <w:rFonts w:ascii="Arial" w:eastAsia="Malgun Gothic" w:hAnsi="Malgun Gothic"/>
          <w:sz w:val="24"/>
          <w:szCs w:val="24"/>
        </w:rPr>
        <w:t xml:space="preserve"> their </w:t>
      </w:r>
      <w:r>
        <w:rPr>
          <w:rFonts w:ascii="Arial" w:eastAsia="Malgun Gothic" w:hAnsi="Malgun Gothic"/>
          <w:sz w:val="24"/>
          <w:szCs w:val="24"/>
        </w:rPr>
        <w:t>resources to</w:t>
      </w:r>
      <w:r>
        <w:rPr>
          <w:rFonts w:ascii="Arial" w:eastAsia="Malgun Gothic" w:hAnsi="Malgun Gothic"/>
          <w:sz w:val="24"/>
          <w:szCs w:val="24"/>
        </w:rPr>
        <w:t xml:space="preserve"> facilitate the</w:t>
      </w:r>
      <w:r>
        <w:rPr>
          <w:rFonts w:ascii="Arial" w:eastAsia="Malgun Gothic" w:hAnsi="Malgun Gothic"/>
          <w:sz w:val="24"/>
          <w:szCs w:val="24"/>
        </w:rPr>
        <w:t xml:space="preserve"> deliver</w:t>
      </w:r>
      <w:r>
        <w:rPr>
          <w:rFonts w:ascii="Arial" w:eastAsia="Malgun Gothic" w:hAnsi="Malgun Gothic"/>
          <w:sz w:val="24"/>
          <w:szCs w:val="24"/>
        </w:rPr>
        <w:t>y of</w:t>
      </w:r>
      <w:r>
        <w:rPr>
          <w:rFonts w:ascii="Arial" w:eastAsia="Malgun Gothic" w:hAnsi="Malgun Gothic"/>
          <w:sz w:val="24"/>
          <w:szCs w:val="24"/>
        </w:rPr>
        <w:t xml:space="preserve"> an agreed set of infrastructure priorities to create new homes (Circa 17,500) and jobs (Circa 20,000) in Central Lancashire. </w:t>
      </w:r>
    </w:p>
    <w:p w:rsidR="0037048E" w:rsidRDefault="0037048E" w:rsidP="00AF200D">
      <w:pPr>
        <w:jc w:val="both"/>
        <w:rPr>
          <w:rFonts w:ascii="Arial" w:eastAsia="Arial" w:hAnsi="Arial"/>
          <w:sz w:val="24"/>
          <w:szCs w:val="24"/>
        </w:rPr>
      </w:pPr>
    </w:p>
    <w:p w:rsidR="0037048E" w:rsidRPr="005C07FA" w:rsidRDefault="00726B76" w:rsidP="00AF200D">
      <w:pPr>
        <w:ind w:firstLine="720"/>
        <w:jc w:val="both"/>
        <w:rPr>
          <w:rFonts w:ascii="Arial" w:eastAsia="Malgun Gothic" w:hAnsi="Malgun Gothic"/>
          <w:b/>
          <w:i/>
          <w:sz w:val="24"/>
          <w:szCs w:val="24"/>
        </w:rPr>
      </w:pPr>
      <w:r w:rsidRPr="005C07FA">
        <w:rPr>
          <w:rFonts w:ascii="Arial" w:eastAsia="Malgun Gothic" w:hAnsi="Malgun Gothic"/>
          <w:b/>
          <w:i/>
          <w:sz w:val="24"/>
          <w:szCs w:val="24"/>
        </w:rPr>
        <w:t>Financial</w:t>
      </w:r>
    </w:p>
    <w:p w:rsidR="0037048E" w:rsidRPr="005C07FA" w:rsidRDefault="00726B76" w:rsidP="00AF200D">
      <w:pPr>
        <w:ind w:left="720"/>
        <w:jc w:val="both"/>
        <w:rPr>
          <w:rFonts w:ascii="Arial" w:eastAsia="Arial" w:hAnsi="Arial" w:cs="Arial"/>
          <w:sz w:val="24"/>
          <w:szCs w:val="24"/>
        </w:rPr>
      </w:pPr>
      <w:r w:rsidRPr="005C07FA">
        <w:rPr>
          <w:rFonts w:ascii="Arial" w:hAnsi="Arial" w:cs="Arial"/>
          <w:sz w:val="24"/>
          <w:szCs w:val="24"/>
        </w:rPr>
        <w:t xml:space="preserve">The </w:t>
      </w:r>
      <w:r w:rsidRPr="005C07FA">
        <w:rPr>
          <w:rFonts w:ascii="Arial" w:hAnsi="Arial" w:cs="Arial"/>
          <w:sz w:val="24"/>
          <w:szCs w:val="24"/>
        </w:rPr>
        <w:t>City Deal in underpinned by an Infrastructure Delivery Fund (£334M)</w:t>
      </w:r>
      <w:r w:rsidRPr="005C07FA">
        <w:rPr>
          <w:rFonts w:ascii="Arial" w:hAnsi="Arial" w:cs="Arial"/>
          <w:sz w:val="24"/>
          <w:szCs w:val="24"/>
        </w:rPr>
        <w:t xml:space="preserve"> which is</w:t>
      </w:r>
      <w:r w:rsidRPr="005C07FA">
        <w:rPr>
          <w:rFonts w:ascii="Arial" w:hAnsi="Arial" w:cs="Arial"/>
          <w:sz w:val="24"/>
          <w:szCs w:val="24"/>
        </w:rPr>
        <w:t xml:space="preserve"> split into </w:t>
      </w:r>
      <w:r w:rsidRPr="005C07FA">
        <w:rPr>
          <w:rFonts w:ascii="Arial" w:hAnsi="Arial" w:cs="Arial"/>
          <w:sz w:val="24"/>
          <w:szCs w:val="24"/>
        </w:rPr>
        <w:t xml:space="preserve">two sections – resources, </w:t>
      </w:r>
      <w:r w:rsidRPr="005C07FA">
        <w:rPr>
          <w:rFonts w:ascii="Arial" w:hAnsi="Arial" w:cs="Arial"/>
          <w:sz w:val="24"/>
          <w:szCs w:val="24"/>
        </w:rPr>
        <w:t>(</w:t>
      </w:r>
      <w:proofErr w:type="spellStart"/>
      <w:r w:rsidRPr="005C07FA">
        <w:rPr>
          <w:rFonts w:ascii="Arial" w:hAnsi="Arial" w:cs="Arial"/>
          <w:sz w:val="24"/>
          <w:szCs w:val="24"/>
        </w:rPr>
        <w:t>ie</w:t>
      </w:r>
      <w:proofErr w:type="spellEnd"/>
      <w:r w:rsidRPr="005C07FA">
        <w:rPr>
          <w:rFonts w:ascii="Arial" w:hAnsi="Arial" w:cs="Arial"/>
          <w:sz w:val="24"/>
          <w:szCs w:val="24"/>
        </w:rPr>
        <w:t>, income received/forecast to be received into the fund</w:t>
      </w:r>
      <w:r w:rsidRPr="005C07FA">
        <w:rPr>
          <w:rFonts w:ascii="Arial" w:hAnsi="Arial" w:cs="Arial"/>
          <w:sz w:val="24"/>
          <w:szCs w:val="24"/>
        </w:rPr>
        <w:t>)</w:t>
      </w:r>
      <w:r w:rsidRPr="005C07FA">
        <w:rPr>
          <w:rFonts w:ascii="Arial" w:hAnsi="Arial" w:cs="Arial"/>
          <w:sz w:val="24"/>
          <w:szCs w:val="24"/>
        </w:rPr>
        <w:t xml:space="preserve"> and delivery programmes, </w:t>
      </w:r>
      <w:r w:rsidRPr="005C07FA">
        <w:rPr>
          <w:rFonts w:ascii="Arial" w:hAnsi="Arial" w:cs="Arial"/>
          <w:sz w:val="24"/>
          <w:szCs w:val="24"/>
        </w:rPr>
        <w:t>(</w:t>
      </w:r>
      <w:proofErr w:type="spellStart"/>
      <w:r w:rsidRPr="005C07FA">
        <w:rPr>
          <w:rFonts w:ascii="Arial" w:hAnsi="Arial" w:cs="Arial"/>
          <w:sz w:val="24"/>
          <w:szCs w:val="24"/>
        </w:rPr>
        <w:t>ie</w:t>
      </w:r>
      <w:proofErr w:type="spellEnd"/>
      <w:r w:rsidRPr="005C07FA">
        <w:rPr>
          <w:rFonts w:ascii="Arial" w:hAnsi="Arial" w:cs="Arial"/>
          <w:sz w:val="24"/>
          <w:szCs w:val="24"/>
        </w:rPr>
        <w:t>, expenditure paid/forecast to be paid on infrastructu</w:t>
      </w:r>
      <w:r w:rsidRPr="005C07FA">
        <w:rPr>
          <w:rFonts w:ascii="Arial" w:hAnsi="Arial" w:cs="Arial"/>
          <w:sz w:val="24"/>
          <w:szCs w:val="24"/>
        </w:rPr>
        <w:t>re schemes</w:t>
      </w:r>
      <w:r w:rsidRPr="005C07FA">
        <w:rPr>
          <w:rFonts w:ascii="Arial" w:hAnsi="Arial" w:cs="Arial"/>
          <w:sz w:val="24"/>
          <w:szCs w:val="24"/>
        </w:rPr>
        <w:t>)</w:t>
      </w:r>
      <w:r w:rsidRPr="005C07FA">
        <w:rPr>
          <w:rFonts w:ascii="Arial" w:hAnsi="Arial" w:cs="Arial"/>
          <w:sz w:val="24"/>
          <w:szCs w:val="24"/>
        </w:rPr>
        <w:t>. Income is</w:t>
      </w:r>
      <w:r w:rsidRPr="005C07FA">
        <w:rPr>
          <w:rFonts w:ascii="Arial" w:hAnsi="Arial" w:cs="Arial"/>
          <w:sz w:val="24"/>
          <w:szCs w:val="24"/>
        </w:rPr>
        <w:t xml:space="preserve"> derived</w:t>
      </w:r>
      <w:r w:rsidRPr="005C07FA">
        <w:rPr>
          <w:rFonts w:ascii="Arial" w:hAnsi="Arial" w:cs="Arial"/>
          <w:sz w:val="24"/>
          <w:szCs w:val="24"/>
        </w:rPr>
        <w:t xml:space="preserve"> from: New Homes Bonus, Community Infrastructure Levy, business rates, local authority capital receipts, HCA loan and grant from land sales and developer contributions such as s278 monies. The City Deal is an accelerated deliv</w:t>
      </w:r>
      <w:r w:rsidRPr="005C07FA">
        <w:rPr>
          <w:rFonts w:ascii="Arial" w:hAnsi="Arial" w:cs="Arial"/>
          <w:sz w:val="24"/>
          <w:szCs w:val="24"/>
        </w:rPr>
        <w:t>ery model based on</w:t>
      </w:r>
      <w:r w:rsidRPr="005C07FA">
        <w:rPr>
          <w:rFonts w:ascii="Arial" w:hAnsi="Arial" w:cs="Arial"/>
          <w:sz w:val="24"/>
          <w:szCs w:val="24"/>
        </w:rPr>
        <w:t xml:space="preserve"> the premise </w:t>
      </w:r>
      <w:r w:rsidRPr="005C07FA">
        <w:rPr>
          <w:rFonts w:ascii="Arial" w:hAnsi="Arial" w:cs="Arial"/>
          <w:sz w:val="24"/>
          <w:szCs w:val="24"/>
        </w:rPr>
        <w:t xml:space="preserve">that the timing of resources coming into the model will be behind expenditure on schemes, </w:t>
      </w:r>
      <w:r w:rsidRPr="005C07FA">
        <w:rPr>
          <w:rFonts w:ascii="Arial" w:hAnsi="Arial" w:cs="Arial"/>
          <w:sz w:val="24"/>
          <w:szCs w:val="24"/>
        </w:rPr>
        <w:t>(</w:t>
      </w:r>
      <w:r w:rsidRPr="005C07FA">
        <w:rPr>
          <w:rFonts w:ascii="Arial" w:hAnsi="Arial" w:cs="Arial"/>
          <w:sz w:val="24"/>
          <w:szCs w:val="24"/>
        </w:rPr>
        <w:t>requiring cash flow support from the County Council</w:t>
      </w:r>
      <w:r w:rsidRPr="005C07FA">
        <w:rPr>
          <w:rFonts w:ascii="Arial" w:hAnsi="Arial" w:cs="Arial"/>
          <w:sz w:val="24"/>
          <w:szCs w:val="24"/>
        </w:rPr>
        <w:t>). T</w:t>
      </w:r>
      <w:r w:rsidRPr="005C07FA">
        <w:rPr>
          <w:rFonts w:ascii="Arial" w:hAnsi="Arial" w:cs="Arial"/>
          <w:sz w:val="24"/>
          <w:szCs w:val="24"/>
        </w:rPr>
        <w:t>here is a commitment of the partners to keep the model balanced</w:t>
      </w:r>
      <w:r w:rsidRPr="005C07FA">
        <w:rPr>
          <w:rFonts w:ascii="Arial" w:hAnsi="Arial" w:cs="Arial"/>
          <w:sz w:val="24"/>
          <w:szCs w:val="24"/>
        </w:rPr>
        <w:t xml:space="preserve"> and to mitigate</w:t>
      </w:r>
      <w:r w:rsidRPr="005C07FA">
        <w:rPr>
          <w:rFonts w:ascii="Arial" w:hAnsi="Arial" w:cs="Arial"/>
          <w:sz w:val="24"/>
          <w:szCs w:val="24"/>
        </w:rPr>
        <w:t xml:space="preserve"> potential cost overruns</w:t>
      </w:r>
      <w:r w:rsidRPr="005C07FA">
        <w:rPr>
          <w:rFonts w:ascii="Arial" w:hAnsi="Arial" w:cs="Arial"/>
          <w:sz w:val="24"/>
          <w:szCs w:val="24"/>
        </w:rPr>
        <w:t xml:space="preserve">. The model is dynamic </w:t>
      </w:r>
      <w:r w:rsidRPr="005C07FA">
        <w:rPr>
          <w:rFonts w:ascii="Arial" w:hAnsi="Arial" w:cs="Arial"/>
          <w:sz w:val="24"/>
          <w:szCs w:val="24"/>
        </w:rPr>
        <w:t xml:space="preserve">and reflects </w:t>
      </w:r>
      <w:r w:rsidRPr="005C07FA">
        <w:rPr>
          <w:rFonts w:ascii="Arial" w:hAnsi="Arial" w:cs="Arial"/>
          <w:sz w:val="24"/>
          <w:szCs w:val="24"/>
        </w:rPr>
        <w:t xml:space="preserve">changes to inputs and outputs of the model occurring over time. This is sustainable subject to County Council maximum cash flow approvals being in place and not breached. </w:t>
      </w:r>
    </w:p>
    <w:p w:rsidR="0037048E" w:rsidRPr="005C07FA" w:rsidRDefault="0037048E" w:rsidP="00AF200D">
      <w:pPr>
        <w:jc w:val="both"/>
        <w:rPr>
          <w:rFonts w:ascii="Arial" w:eastAsia="Malgun Gothic" w:hAnsi="Malgun Gothic"/>
          <w:b/>
          <w:i/>
          <w:sz w:val="24"/>
          <w:szCs w:val="24"/>
        </w:rPr>
      </w:pPr>
    </w:p>
    <w:p w:rsidR="0037048E" w:rsidRPr="005C07FA" w:rsidRDefault="00726B76" w:rsidP="00AF200D">
      <w:pPr>
        <w:ind w:firstLine="720"/>
        <w:jc w:val="both"/>
        <w:rPr>
          <w:rFonts w:ascii="Arial" w:eastAsia="Malgun Gothic" w:hAnsi="Malgun Gothic"/>
          <w:sz w:val="24"/>
          <w:szCs w:val="24"/>
        </w:rPr>
      </w:pPr>
      <w:r w:rsidRPr="005C07FA">
        <w:rPr>
          <w:rFonts w:ascii="Arial" w:eastAsia="Malgun Gothic" w:hAnsi="Malgun Gothic"/>
          <w:b/>
          <w:i/>
          <w:sz w:val="24"/>
          <w:szCs w:val="24"/>
        </w:rPr>
        <w:t>Governance</w:t>
      </w:r>
    </w:p>
    <w:p w:rsidR="0037048E" w:rsidRPr="005C07FA" w:rsidRDefault="00726B76" w:rsidP="00AF200D">
      <w:pPr>
        <w:ind w:left="720"/>
        <w:jc w:val="both"/>
        <w:rPr>
          <w:rFonts w:ascii="Arial" w:eastAsia="Malgun Gothic" w:hAnsi="Malgun Gothic"/>
          <w:sz w:val="24"/>
          <w:szCs w:val="24"/>
        </w:rPr>
      </w:pPr>
      <w:r w:rsidRPr="005C07FA">
        <w:rPr>
          <w:rFonts w:ascii="Arial" w:eastAsia="Malgun Gothic" w:hAnsi="Malgun Gothic"/>
          <w:sz w:val="24"/>
          <w:szCs w:val="24"/>
        </w:rPr>
        <w:t xml:space="preserve">The City Deal Executive, chaired by LEP Director Jim Carter, and the City Deal </w:t>
      </w:r>
      <w:r w:rsidRPr="005C07FA">
        <w:rPr>
          <w:rFonts w:ascii="Arial" w:eastAsia="Malgun Gothic" w:hAnsi="Malgun Gothic"/>
          <w:sz w:val="24"/>
          <w:szCs w:val="24"/>
        </w:rPr>
        <w:t xml:space="preserve">Stewardship Board, chaired by HCA NW Regional Director, Deborah McLaughlin </w:t>
      </w:r>
      <w:r w:rsidRPr="005C07FA">
        <w:rPr>
          <w:rFonts w:ascii="Arial" w:eastAsia="Malgun Gothic" w:hAnsi="Malgun Gothic"/>
          <w:sz w:val="24"/>
          <w:szCs w:val="24"/>
        </w:rPr>
        <w:t xml:space="preserve">form </w:t>
      </w:r>
      <w:r w:rsidRPr="005C07FA">
        <w:rPr>
          <w:rFonts w:ascii="Arial" w:eastAsia="Malgun Gothic" w:hAnsi="Malgun Gothic"/>
          <w:sz w:val="24"/>
          <w:szCs w:val="24"/>
        </w:rPr>
        <w:t>the two princip</w:t>
      </w:r>
      <w:r>
        <w:rPr>
          <w:rFonts w:ascii="Arial" w:eastAsia="Malgun Gothic" w:hAnsi="Malgun Gothic"/>
          <w:sz w:val="24"/>
          <w:szCs w:val="24"/>
        </w:rPr>
        <w:t>al</w:t>
      </w:r>
      <w:r w:rsidRPr="005C07FA">
        <w:rPr>
          <w:rFonts w:ascii="Arial" w:eastAsia="Malgun Gothic" w:hAnsi="Malgun Gothic"/>
          <w:sz w:val="24"/>
          <w:szCs w:val="24"/>
        </w:rPr>
        <w:t xml:space="preserve"> governance structures</w:t>
      </w:r>
      <w:r w:rsidRPr="005C07FA">
        <w:rPr>
          <w:rFonts w:ascii="Arial" w:eastAsia="Malgun Gothic" w:hAnsi="Malgun Gothic"/>
          <w:sz w:val="24"/>
          <w:szCs w:val="24"/>
        </w:rPr>
        <w:t xml:space="preserve"> guiding the City Deal. S</w:t>
      </w:r>
      <w:r w:rsidRPr="005C07FA">
        <w:rPr>
          <w:rFonts w:ascii="Arial" w:eastAsia="Malgun Gothic" w:hAnsi="Malgun Gothic"/>
          <w:sz w:val="24"/>
          <w:szCs w:val="24"/>
        </w:rPr>
        <w:t>ince 2014</w:t>
      </w:r>
      <w:r w:rsidRPr="005C07FA">
        <w:rPr>
          <w:rFonts w:ascii="Arial" w:eastAsia="Malgun Gothic" w:hAnsi="Malgun Gothic"/>
          <w:sz w:val="24"/>
          <w:szCs w:val="24"/>
        </w:rPr>
        <w:t xml:space="preserve"> the Executive and Stewa</w:t>
      </w:r>
      <w:r w:rsidRPr="005C07FA">
        <w:rPr>
          <w:rFonts w:ascii="Arial" w:eastAsia="Malgun Gothic" w:hAnsi="Malgun Gothic"/>
          <w:sz w:val="24"/>
          <w:szCs w:val="24"/>
        </w:rPr>
        <w:t>rdship Board</w:t>
      </w:r>
      <w:r w:rsidRPr="005C07FA">
        <w:rPr>
          <w:rFonts w:ascii="Arial" w:eastAsia="Malgun Gothic" w:hAnsi="Malgun Gothic"/>
          <w:sz w:val="24"/>
          <w:szCs w:val="24"/>
        </w:rPr>
        <w:t xml:space="preserve"> </w:t>
      </w:r>
      <w:r w:rsidRPr="005C07FA">
        <w:rPr>
          <w:rFonts w:ascii="Arial" w:eastAsia="Malgun Gothic" w:hAnsi="Malgun Gothic"/>
          <w:sz w:val="24"/>
          <w:szCs w:val="24"/>
        </w:rPr>
        <w:t>have met on a quarterly basis in a</w:t>
      </w:r>
      <w:r w:rsidRPr="005C07FA">
        <w:rPr>
          <w:rFonts w:ascii="Arial" w:eastAsia="Malgun Gothic" w:hAnsi="Malgun Gothic"/>
          <w:sz w:val="24"/>
          <w:szCs w:val="24"/>
        </w:rPr>
        <w:t xml:space="preserve"> combined format. There are a number of operational boards and groups </w:t>
      </w:r>
      <w:r w:rsidRPr="005C07FA">
        <w:rPr>
          <w:rFonts w:ascii="Arial" w:eastAsia="Malgun Gothic" w:hAnsi="Malgun Gothic"/>
          <w:sz w:val="24"/>
          <w:szCs w:val="24"/>
        </w:rPr>
        <w:t xml:space="preserve">that sit beneath </w:t>
      </w:r>
      <w:r w:rsidRPr="005C07FA">
        <w:rPr>
          <w:rFonts w:ascii="Arial" w:eastAsia="Malgun Gothic" w:hAnsi="Malgun Gothic"/>
          <w:sz w:val="24"/>
          <w:szCs w:val="24"/>
        </w:rPr>
        <w:t xml:space="preserve">this governance structure. </w:t>
      </w:r>
    </w:p>
    <w:p w:rsidR="0037048E" w:rsidRPr="005C07FA" w:rsidRDefault="0037048E" w:rsidP="00AF200D">
      <w:pPr>
        <w:jc w:val="both"/>
        <w:rPr>
          <w:rFonts w:ascii="Arial" w:eastAsia="Arial" w:hAnsi="Arial"/>
          <w:sz w:val="24"/>
          <w:szCs w:val="24"/>
        </w:rPr>
      </w:pPr>
    </w:p>
    <w:p w:rsidR="0037048E" w:rsidRDefault="00726B76" w:rsidP="00AF200D">
      <w:pPr>
        <w:ind w:firstLine="720"/>
        <w:rPr>
          <w:rFonts w:ascii="Arial" w:eastAsia="Malgun Gothic" w:hAnsi="Malgun Gothic"/>
          <w:b/>
          <w:i/>
          <w:sz w:val="24"/>
          <w:szCs w:val="24"/>
        </w:rPr>
      </w:pPr>
      <w:r>
        <w:rPr>
          <w:rFonts w:ascii="Arial" w:eastAsia="Malgun Gothic" w:hAnsi="Malgun Gothic"/>
          <w:b/>
          <w:i/>
          <w:sz w:val="24"/>
          <w:szCs w:val="24"/>
        </w:rPr>
        <w:lastRenderedPageBreak/>
        <w:t>Programme Management</w:t>
      </w:r>
    </w:p>
    <w:p w:rsidR="0037048E" w:rsidRPr="00987798" w:rsidRDefault="00726B76" w:rsidP="00AF200D">
      <w:pPr>
        <w:ind w:left="720"/>
        <w:jc w:val="both"/>
        <w:rPr>
          <w:rFonts w:ascii="Arial" w:hAnsi="Arial" w:cs="Arial"/>
          <w:sz w:val="24"/>
          <w:szCs w:val="24"/>
        </w:rPr>
      </w:pPr>
      <w:r w:rsidRPr="00987798">
        <w:rPr>
          <w:rFonts w:ascii="Arial" w:hAnsi="Arial" w:cs="Arial"/>
          <w:sz w:val="24"/>
          <w:szCs w:val="24"/>
        </w:rPr>
        <w:t>The primary role of the City Deal Executive and Stewardship Board – E&amp;SB</w:t>
      </w:r>
      <w:r w:rsidRPr="00987798">
        <w:rPr>
          <w:rFonts w:ascii="Arial" w:hAnsi="Arial" w:cs="Arial"/>
          <w:sz w:val="24"/>
          <w:szCs w:val="24"/>
        </w:rPr>
        <w:t xml:space="preserve"> – is to agree </w:t>
      </w:r>
      <w:r w:rsidRPr="00987798">
        <w:rPr>
          <w:rFonts w:ascii="Arial" w:hAnsi="Arial" w:cs="Arial"/>
          <w:sz w:val="24"/>
          <w:szCs w:val="24"/>
        </w:rPr>
        <w:t>and oversee the implementation of an annual Infrastructure and Delivery Plan and the HCA Business and Disposal Plan</w:t>
      </w:r>
      <w:r>
        <w:rPr>
          <w:rFonts w:ascii="Arial" w:hAnsi="Arial" w:cs="Arial"/>
          <w:sz w:val="24"/>
          <w:szCs w:val="24"/>
        </w:rPr>
        <w:t>,</w:t>
      </w:r>
      <w:r w:rsidRPr="00987798">
        <w:rPr>
          <w:rFonts w:ascii="Arial" w:hAnsi="Arial" w:cs="Arial"/>
          <w:sz w:val="24"/>
          <w:szCs w:val="24"/>
        </w:rPr>
        <w:t xml:space="preserve"> and to monitor achievement of the housing and employment outputs. Core and secondary outputs and </w:t>
      </w:r>
      <w:r>
        <w:rPr>
          <w:rFonts w:ascii="Arial" w:hAnsi="Arial" w:cs="Arial"/>
          <w:sz w:val="24"/>
          <w:szCs w:val="24"/>
        </w:rPr>
        <w:t>annual</w:t>
      </w:r>
      <w:r w:rsidRPr="00987798">
        <w:rPr>
          <w:rFonts w:ascii="Arial" w:hAnsi="Arial" w:cs="Arial"/>
          <w:sz w:val="24"/>
          <w:szCs w:val="24"/>
        </w:rPr>
        <w:t xml:space="preserve"> </w:t>
      </w:r>
      <w:r w:rsidRPr="00987798">
        <w:rPr>
          <w:rFonts w:ascii="Arial" w:hAnsi="Arial" w:cs="Arial"/>
          <w:sz w:val="24"/>
          <w:szCs w:val="24"/>
        </w:rPr>
        <w:t xml:space="preserve">targets are agreed with Government with monitoring reports prepared for Government every 6 months. </w:t>
      </w:r>
    </w:p>
    <w:p w:rsidR="0037048E" w:rsidRPr="00987798" w:rsidRDefault="0037048E" w:rsidP="00AF200D">
      <w:pPr>
        <w:jc w:val="both"/>
        <w:rPr>
          <w:rFonts w:ascii="Arial" w:hAnsi="Arial" w:cs="Arial"/>
          <w:sz w:val="24"/>
          <w:szCs w:val="24"/>
        </w:rPr>
      </w:pPr>
    </w:p>
    <w:p w:rsidR="0037048E" w:rsidRDefault="00726B76" w:rsidP="00AF200D">
      <w:pPr>
        <w:ind w:firstLine="720"/>
        <w:jc w:val="both"/>
        <w:rPr>
          <w:rFonts w:ascii="Arial" w:hAnsi="Arial" w:cs="Arial"/>
          <w:sz w:val="24"/>
          <w:szCs w:val="24"/>
        </w:rPr>
      </w:pPr>
      <w:r w:rsidRPr="00987798">
        <w:rPr>
          <w:rFonts w:ascii="Arial" w:hAnsi="Arial" w:cs="Arial"/>
          <w:sz w:val="24"/>
          <w:szCs w:val="24"/>
        </w:rPr>
        <w:t xml:space="preserve">The diagram below sets out current programme management arrangements. </w:t>
      </w:r>
    </w:p>
    <w:p w:rsidR="00877812" w:rsidRPr="00987798" w:rsidRDefault="00726B76" w:rsidP="00987798">
      <w:pPr>
        <w:spacing w:line="259" w:lineRule="auto"/>
        <w:jc w:val="center"/>
        <w:rPr>
          <w:rFonts w:ascii="Arial" w:hAnsi="Arial" w:cs="Arial"/>
          <w:sz w:val="24"/>
          <w:szCs w:val="24"/>
        </w:rPr>
      </w:pPr>
    </w:p>
    <w:p w:rsidR="00383FEC" w:rsidRDefault="00726B76" w:rsidP="00987798">
      <w:pPr>
        <w:jc w:val="center"/>
        <w:rPr>
          <w:rFonts w:ascii="Arial" w:eastAsia="Malgun Gothic" w:hAnsi="Malgun Gothic"/>
          <w:sz w:val="24"/>
          <w:szCs w:val="24"/>
        </w:rPr>
      </w:pPr>
      <w:r w:rsidRPr="00065A10">
        <w:rPr>
          <w:rFonts w:ascii="Arial" w:hAnsi="Arial" w:cs="Arial"/>
          <w:noProof/>
        </w:rPr>
        <w:drawing>
          <wp:inline distT="0" distB="0" distL="0" distR="0">
            <wp:extent cx="4600575" cy="78962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870380" w:rsidRDefault="00726B76">
      <w:pPr>
        <w:spacing w:line="259" w:lineRule="auto"/>
        <w:jc w:val="both"/>
        <w:rPr>
          <w:rFonts w:ascii="Arial" w:eastAsia="Malgun Gothic" w:hAnsi="Malgun Gothic"/>
          <w:b/>
          <w:i/>
          <w:sz w:val="24"/>
          <w:szCs w:val="24"/>
        </w:rPr>
      </w:pPr>
    </w:p>
    <w:p w:rsidR="0037048E" w:rsidRDefault="00726B76" w:rsidP="00AF200D">
      <w:pPr>
        <w:ind w:firstLine="720"/>
        <w:jc w:val="both"/>
        <w:rPr>
          <w:rFonts w:ascii="Arial" w:eastAsia="Malgun Gothic" w:hAnsi="Malgun Gothic"/>
          <w:sz w:val="24"/>
          <w:szCs w:val="24"/>
        </w:rPr>
      </w:pPr>
      <w:r>
        <w:rPr>
          <w:rFonts w:ascii="Arial" w:eastAsia="Malgun Gothic" w:hAnsi="Malgun Gothic"/>
          <w:b/>
          <w:i/>
          <w:sz w:val="24"/>
          <w:szCs w:val="24"/>
        </w:rPr>
        <w:t>Performance</w:t>
      </w:r>
    </w:p>
    <w:p w:rsidR="00877812" w:rsidRPr="00987798" w:rsidRDefault="00726B76" w:rsidP="00AF200D">
      <w:pPr>
        <w:ind w:left="720"/>
        <w:jc w:val="both"/>
        <w:rPr>
          <w:rFonts w:ascii="Arial" w:eastAsia="Malgun Gothic" w:hAnsi="Arial" w:cs="Arial"/>
          <w:sz w:val="24"/>
          <w:szCs w:val="24"/>
        </w:rPr>
      </w:pPr>
      <w:r w:rsidRPr="00870380">
        <w:rPr>
          <w:rFonts w:ascii="Arial" w:eastAsia="Malgun Gothic" w:hAnsi="Arial" w:cs="Arial"/>
          <w:sz w:val="24"/>
          <w:szCs w:val="24"/>
        </w:rPr>
        <w:t>In the first 2 years of the City Deal (14/15</w:t>
      </w:r>
      <w:r w:rsidRPr="00870380">
        <w:rPr>
          <w:rFonts w:ascii="Arial" w:eastAsia="Malgun Gothic" w:hAnsi="Arial" w:cs="Arial"/>
          <w:sz w:val="24"/>
          <w:szCs w:val="24"/>
        </w:rPr>
        <w:t xml:space="preserve"> – 15/16 implement</w:t>
      </w:r>
      <w:r w:rsidRPr="00870380">
        <w:rPr>
          <w:rFonts w:ascii="Arial" w:eastAsia="Malgun Gothic" w:hAnsi="Arial" w:cs="Arial"/>
          <w:sz w:val="24"/>
          <w:szCs w:val="24"/>
        </w:rPr>
        <w:t xml:space="preserve">ation of the infrastructure schemes proceeded at pace and in line with the targets and milestones set out in the Infrastructure and Delivery Plan and core housing and employment targets were all met. </w:t>
      </w:r>
      <w:r w:rsidRPr="00870380">
        <w:rPr>
          <w:rFonts w:ascii="Arial" w:eastAsia="Malgun Gothic" w:hAnsi="Arial" w:cs="Arial"/>
          <w:sz w:val="24"/>
          <w:szCs w:val="24"/>
        </w:rPr>
        <w:t xml:space="preserve"> </w:t>
      </w:r>
    </w:p>
    <w:p w:rsidR="0037048E" w:rsidRDefault="00AF200D" w:rsidP="00AF200D">
      <w:pPr>
        <w:spacing w:after="160"/>
        <w:jc w:val="both"/>
        <w:rPr>
          <w:rFonts w:ascii="Arial" w:eastAsia="Malgun Gothic" w:hAnsi="Malgun Gothic"/>
          <w:sz w:val="24"/>
          <w:szCs w:val="24"/>
        </w:rPr>
      </w:pPr>
      <w:r>
        <w:rPr>
          <w:noProof/>
          <w:sz w:val="20"/>
        </w:rPr>
        <w:t xml:space="preserve">               </w:t>
      </w:r>
      <w:r>
        <w:rPr>
          <w:noProof/>
          <w:sz w:val="20"/>
        </w:rPr>
        <w:drawing>
          <wp:inline distT="0" distB="0" distL="0" distR="0" wp14:anchorId="22502586" wp14:editId="77BC4D29">
            <wp:extent cx="5188585" cy="3669030"/>
            <wp:effectExtent l="0" t="0" r="3810" b="0"/>
            <wp:docPr id="15" name="Picture 2" descr="C:\Users\rjoyce002\AppData\Local\Microsoft\Windows\Temporary Internet Files\Content.Outlook\3WYWKEDP\City Deal 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CB211C78-75AB-488D-BC2B-C78FFC436001/tmp/image2.jpeg"/>
                    <pic:cNvPicPr>
                      <a:picLocks noChangeAspect="1" noChangeArrowheads="1"/>
                    </pic:cNvPicPr>
                  </pic:nvPicPr>
                  <pic:blipFill>
                    <a:blip r:embed="rId11"/>
                    <a:srcRect/>
                    <a:stretch>
                      <a:fillRect/>
                    </a:stretch>
                  </pic:blipFill>
                  <pic:spPr>
                    <a:xfrm>
                      <a:off x="0" y="0"/>
                      <a:ext cx="5189220" cy="3669665"/>
                    </a:xfrm>
                    <a:prstGeom prst="rect">
                      <a:avLst/>
                    </a:prstGeom>
                    <a:noFill/>
                    <a:ln cap="flat">
                      <a:noFill/>
                    </a:ln>
                  </pic:spPr>
                </pic:pic>
              </a:graphicData>
            </a:graphic>
          </wp:inline>
        </w:drawing>
      </w:r>
    </w:p>
    <w:p w:rsidR="0037048E" w:rsidRDefault="00726B76" w:rsidP="00AF200D">
      <w:pPr>
        <w:spacing w:after="160"/>
        <w:ind w:left="720"/>
        <w:jc w:val="both"/>
        <w:rPr>
          <w:rFonts w:ascii="Arial" w:eastAsia="Arial" w:hAnsi="Arial"/>
          <w:sz w:val="24"/>
          <w:szCs w:val="24"/>
        </w:rPr>
      </w:pPr>
      <w:r>
        <w:rPr>
          <w:rFonts w:ascii="Arial" w:eastAsia="Malgun Gothic" w:hAnsi="Malgun Gothic"/>
          <w:sz w:val="24"/>
          <w:szCs w:val="24"/>
        </w:rPr>
        <w:t xml:space="preserve">This has provided the LEP with a strong evidence based record of achievement and </w:t>
      </w:r>
      <w:r>
        <w:rPr>
          <w:rFonts w:ascii="Arial" w:eastAsia="Malgun Gothic" w:hAnsi="Malgun Gothic"/>
          <w:sz w:val="24"/>
          <w:szCs w:val="24"/>
        </w:rPr>
        <w:t xml:space="preserve">delivery upon which to build its relationship with Government and to assist in </w:t>
      </w:r>
      <w:proofErr w:type="gramStart"/>
      <w:r>
        <w:rPr>
          <w:rFonts w:ascii="Arial" w:eastAsia="Malgun Gothic" w:hAnsi="Malgun Gothic"/>
          <w:sz w:val="24"/>
          <w:szCs w:val="24"/>
        </w:rPr>
        <w:t>its</w:t>
      </w:r>
      <w:proofErr w:type="gramEnd"/>
      <w:r>
        <w:rPr>
          <w:rFonts w:ascii="Arial" w:eastAsia="Malgun Gothic" w:hAnsi="Malgun Gothic"/>
          <w:sz w:val="24"/>
          <w:szCs w:val="24"/>
        </w:rPr>
        <w:t xml:space="preserve"> case-making for Growth Deal and other devolved arrangements. </w:t>
      </w:r>
    </w:p>
    <w:p w:rsidR="0037048E" w:rsidRPr="005C07FA" w:rsidRDefault="00726B76" w:rsidP="00AF200D">
      <w:pPr>
        <w:pStyle w:val="PlainText"/>
        <w:rPr>
          <w:rFonts w:ascii="Arial" w:eastAsia="Arial" w:hAnsi="Arial" w:cs="Arial"/>
          <w:b/>
          <w:i/>
          <w:sz w:val="24"/>
          <w:szCs w:val="24"/>
        </w:rPr>
      </w:pPr>
      <w:r w:rsidRPr="00987798">
        <w:rPr>
          <w:rFonts w:ascii="Arial" w:eastAsia="Malgun Gothic" w:hAnsi="Arial" w:cs="Arial"/>
          <w:b/>
          <w:i/>
          <w:sz w:val="24"/>
          <w:szCs w:val="24"/>
        </w:rPr>
        <w:t>2.</w:t>
      </w:r>
      <w:r w:rsidRPr="00987798">
        <w:rPr>
          <w:rFonts w:ascii="Arial" w:eastAsia="Malgun Gothic" w:hAnsi="Arial" w:cs="Arial"/>
          <w:b/>
          <w:i/>
          <w:sz w:val="24"/>
          <w:szCs w:val="24"/>
        </w:rPr>
        <w:tab/>
      </w:r>
      <w:r w:rsidRPr="005C07FA">
        <w:rPr>
          <w:rFonts w:ascii="Arial" w:eastAsia="Malgun Gothic" w:hAnsi="Arial" w:cs="Arial"/>
          <w:b/>
          <w:sz w:val="24"/>
          <w:szCs w:val="24"/>
        </w:rPr>
        <w:t>Continuous Improvement</w:t>
      </w:r>
    </w:p>
    <w:p w:rsidR="0037048E" w:rsidRPr="005C07FA" w:rsidRDefault="00726B76" w:rsidP="00AF200D">
      <w:pPr>
        <w:pStyle w:val="PlainText"/>
        <w:ind w:left="720"/>
        <w:jc w:val="both"/>
        <w:rPr>
          <w:rFonts w:ascii="Arial" w:eastAsia="Malgun Gothic" w:hAnsi="Arial" w:cs="Arial"/>
          <w:sz w:val="24"/>
          <w:szCs w:val="24"/>
        </w:rPr>
      </w:pPr>
      <w:r w:rsidRPr="005C07FA">
        <w:rPr>
          <w:rFonts w:ascii="Arial" w:eastAsia="Malgun Gothic" w:hAnsi="Arial" w:cs="Arial"/>
          <w:sz w:val="24"/>
          <w:szCs w:val="24"/>
        </w:rPr>
        <w:t>Whilst</w:t>
      </w:r>
      <w:r w:rsidRPr="005C07FA">
        <w:rPr>
          <w:rFonts w:ascii="Arial" w:eastAsia="Malgun Gothic" w:hAnsi="Arial" w:cs="Arial"/>
          <w:sz w:val="24"/>
          <w:szCs w:val="24"/>
        </w:rPr>
        <w:t xml:space="preserve"> a solid start</w:t>
      </w:r>
      <w:r w:rsidRPr="005C07FA">
        <w:rPr>
          <w:rFonts w:ascii="Arial" w:eastAsia="Malgun Gothic" w:hAnsi="Arial" w:cs="Arial"/>
          <w:sz w:val="24"/>
          <w:szCs w:val="24"/>
        </w:rPr>
        <w:t xml:space="preserve"> to the City Deal has been made, </w:t>
      </w:r>
      <w:r w:rsidRPr="005C07FA">
        <w:rPr>
          <w:rFonts w:ascii="Arial" w:eastAsia="Malgun Gothic" w:hAnsi="Arial" w:cs="Arial"/>
          <w:sz w:val="24"/>
          <w:szCs w:val="24"/>
        </w:rPr>
        <w:t>the E&amp;SB recognise</w:t>
      </w:r>
      <w:r w:rsidRPr="005C07FA">
        <w:rPr>
          <w:rFonts w:ascii="Arial" w:eastAsia="Malgun Gothic" w:hAnsi="Arial" w:cs="Arial"/>
          <w:sz w:val="24"/>
          <w:szCs w:val="24"/>
        </w:rPr>
        <w:t>s</w:t>
      </w:r>
      <w:r w:rsidRPr="005C07FA">
        <w:rPr>
          <w:rFonts w:ascii="Arial" w:eastAsia="Malgun Gothic" w:hAnsi="Arial" w:cs="Arial"/>
          <w:sz w:val="24"/>
          <w:szCs w:val="24"/>
        </w:rPr>
        <w:t xml:space="preserve"> that </w:t>
      </w:r>
      <w:r w:rsidRPr="005C07FA">
        <w:rPr>
          <w:rFonts w:ascii="Arial" w:eastAsia="Malgun Gothic" w:hAnsi="Arial" w:cs="Arial"/>
          <w:sz w:val="24"/>
          <w:szCs w:val="24"/>
        </w:rPr>
        <w:t xml:space="preserve">this is </w:t>
      </w:r>
      <w:r w:rsidRPr="005C07FA">
        <w:rPr>
          <w:rFonts w:ascii="Arial" w:eastAsia="Malgun Gothic" w:hAnsi="Arial" w:cs="Arial"/>
          <w:sz w:val="24"/>
          <w:szCs w:val="24"/>
        </w:rPr>
        <w:t>a long-</w:t>
      </w:r>
      <w:r w:rsidRPr="005C07FA">
        <w:rPr>
          <w:rFonts w:ascii="Arial" w:eastAsia="Malgun Gothic" w:hAnsi="Arial" w:cs="Arial"/>
          <w:sz w:val="24"/>
          <w:szCs w:val="24"/>
        </w:rPr>
        <w:t>term initiative of the scale and complexity</w:t>
      </w:r>
      <w:r w:rsidRPr="005C07FA">
        <w:rPr>
          <w:rFonts w:ascii="Arial" w:eastAsia="Malgun Gothic" w:hAnsi="Arial" w:cs="Arial"/>
          <w:sz w:val="24"/>
          <w:szCs w:val="24"/>
        </w:rPr>
        <w:t xml:space="preserve"> that</w:t>
      </w:r>
      <w:r w:rsidRPr="005C07FA">
        <w:rPr>
          <w:rFonts w:ascii="Arial" w:eastAsia="Malgun Gothic" w:hAnsi="Arial" w:cs="Arial"/>
          <w:sz w:val="24"/>
          <w:szCs w:val="24"/>
        </w:rPr>
        <w:t xml:space="preserve"> requires robust</w:t>
      </w:r>
      <w:r w:rsidRPr="005C07FA">
        <w:rPr>
          <w:rFonts w:ascii="Arial" w:eastAsia="Malgun Gothic" w:hAnsi="Arial" w:cs="Arial"/>
          <w:sz w:val="24"/>
          <w:szCs w:val="24"/>
        </w:rPr>
        <w:t xml:space="preserve"> and</w:t>
      </w:r>
      <w:r w:rsidRPr="005C07FA">
        <w:rPr>
          <w:rFonts w:ascii="Arial" w:eastAsia="Malgun Gothic" w:hAnsi="Arial" w:cs="Arial"/>
          <w:sz w:val="24"/>
          <w:szCs w:val="24"/>
        </w:rPr>
        <w:t xml:space="preserve"> well-resourced project and programme management</w:t>
      </w:r>
      <w:r w:rsidRPr="005C07FA">
        <w:rPr>
          <w:rFonts w:ascii="Arial" w:eastAsia="Malgun Gothic" w:hAnsi="Arial" w:cs="Arial"/>
          <w:sz w:val="24"/>
          <w:szCs w:val="24"/>
        </w:rPr>
        <w:t>. This will ensure that</w:t>
      </w:r>
      <w:r w:rsidRPr="005C07FA">
        <w:rPr>
          <w:rFonts w:ascii="Arial" w:eastAsia="Malgun Gothic" w:hAnsi="Arial" w:cs="Arial"/>
          <w:sz w:val="24"/>
          <w:szCs w:val="24"/>
        </w:rPr>
        <w:t xml:space="preserve"> the relevant projects are delivered within an efficient manner and that</w:t>
      </w:r>
      <w:r w:rsidRPr="005C07FA">
        <w:rPr>
          <w:rFonts w:ascii="Arial" w:eastAsia="Malgun Gothic" w:hAnsi="Arial" w:cs="Arial"/>
          <w:sz w:val="24"/>
          <w:szCs w:val="24"/>
        </w:rPr>
        <w:t xml:space="preserve"> delivery challenges and pressures on income and costs</w:t>
      </w:r>
      <w:r w:rsidRPr="005C07FA">
        <w:rPr>
          <w:rFonts w:ascii="Arial" w:eastAsia="Malgun Gothic" w:hAnsi="Arial" w:cs="Arial"/>
          <w:sz w:val="24"/>
          <w:szCs w:val="24"/>
        </w:rPr>
        <w:t xml:space="preserve"> are overcome</w:t>
      </w:r>
      <w:r w:rsidRPr="005C07FA">
        <w:rPr>
          <w:rFonts w:ascii="Arial" w:eastAsia="Malgun Gothic" w:hAnsi="Arial" w:cs="Arial"/>
          <w:sz w:val="24"/>
          <w:szCs w:val="24"/>
        </w:rPr>
        <w:t xml:space="preserve">. </w:t>
      </w:r>
      <w:r w:rsidRPr="005C07FA">
        <w:rPr>
          <w:rFonts w:ascii="Arial" w:eastAsia="Malgun Gothic" w:hAnsi="Arial" w:cs="Arial"/>
          <w:sz w:val="24"/>
          <w:szCs w:val="24"/>
        </w:rPr>
        <w:t xml:space="preserve">It is anticipated that the </w:t>
      </w:r>
      <w:r w:rsidRPr="005C07FA">
        <w:rPr>
          <w:rFonts w:ascii="Arial" w:eastAsia="Malgun Gothic" w:hAnsi="Arial" w:cs="Arial"/>
          <w:sz w:val="24"/>
          <w:szCs w:val="24"/>
        </w:rPr>
        <w:t>delivery challenges and pressures on income and costs will scale up</w:t>
      </w:r>
      <w:r w:rsidRPr="005C07FA">
        <w:rPr>
          <w:rFonts w:ascii="Arial" w:eastAsia="Malgun Gothic" w:hAnsi="Arial" w:cs="Arial"/>
          <w:sz w:val="24"/>
          <w:szCs w:val="24"/>
        </w:rPr>
        <w:t xml:space="preserve"> over time</w:t>
      </w:r>
      <w:r w:rsidRPr="005C07FA">
        <w:rPr>
          <w:rFonts w:ascii="Arial" w:eastAsia="Malgun Gothic" w:hAnsi="Arial" w:cs="Arial"/>
          <w:sz w:val="24"/>
          <w:szCs w:val="24"/>
        </w:rPr>
        <w:t xml:space="preserve"> as the Cit</w:t>
      </w:r>
      <w:r w:rsidRPr="005C07FA">
        <w:rPr>
          <w:rFonts w:ascii="Arial" w:eastAsia="Malgun Gothic" w:hAnsi="Arial" w:cs="Arial"/>
          <w:sz w:val="24"/>
          <w:szCs w:val="24"/>
        </w:rPr>
        <w:t xml:space="preserve">y Deal moves from the first 2-3 years of preparation and </w:t>
      </w:r>
      <w:r w:rsidRPr="005C07FA">
        <w:rPr>
          <w:rFonts w:ascii="Arial" w:eastAsia="Malgun Gothic" w:hAnsi="Arial" w:cs="Arial"/>
          <w:sz w:val="24"/>
          <w:szCs w:val="24"/>
        </w:rPr>
        <w:t>works on a number of the larger projects commence</w:t>
      </w:r>
      <w:r w:rsidRPr="005C07FA">
        <w:rPr>
          <w:rFonts w:ascii="Arial" w:eastAsia="Malgun Gothic" w:hAnsi="Arial" w:cs="Arial"/>
          <w:sz w:val="24"/>
          <w:szCs w:val="24"/>
        </w:rPr>
        <w:t>. In recognition of this the E&amp;SB agreed to the following:</w:t>
      </w:r>
      <w:r w:rsidRPr="005C07FA">
        <w:rPr>
          <w:rFonts w:ascii="Arial" w:eastAsia="Malgun Gothic" w:hAnsi="Arial" w:cs="Arial"/>
          <w:sz w:val="24"/>
          <w:szCs w:val="24"/>
        </w:rPr>
        <w:t>-</w:t>
      </w:r>
    </w:p>
    <w:p w:rsidR="0037048E" w:rsidRPr="005C07FA" w:rsidRDefault="0037048E" w:rsidP="00AF200D">
      <w:pPr>
        <w:pStyle w:val="PlainText"/>
        <w:jc w:val="both"/>
        <w:rPr>
          <w:rFonts w:ascii="Arial" w:eastAsia="Arial" w:hAnsi="Arial"/>
          <w:sz w:val="24"/>
          <w:szCs w:val="24"/>
        </w:rPr>
      </w:pPr>
    </w:p>
    <w:p w:rsidR="0037048E" w:rsidRPr="00987798" w:rsidRDefault="00726B76" w:rsidP="00AF200D">
      <w:pPr>
        <w:pStyle w:val="PlainText"/>
        <w:numPr>
          <w:ilvl w:val="0"/>
          <w:numId w:val="4"/>
        </w:numPr>
        <w:jc w:val="both"/>
        <w:rPr>
          <w:rFonts w:ascii="Arial" w:eastAsia="Arial" w:hAnsi="Arial" w:cs="Arial"/>
          <w:sz w:val="24"/>
          <w:szCs w:val="24"/>
        </w:rPr>
      </w:pPr>
      <w:r w:rsidRPr="00987798">
        <w:rPr>
          <w:rFonts w:ascii="Arial" w:eastAsia="Malgun Gothic" w:hAnsi="Arial" w:cs="Arial"/>
          <w:sz w:val="24"/>
          <w:szCs w:val="24"/>
        </w:rPr>
        <w:t>In Summer 2014, to hold annual away days to review the progress, to understand emerging c</w:t>
      </w:r>
      <w:r w:rsidRPr="00987798">
        <w:rPr>
          <w:rFonts w:ascii="Arial" w:eastAsia="Malgun Gothic" w:hAnsi="Arial" w:cs="Arial"/>
          <w:sz w:val="24"/>
          <w:szCs w:val="24"/>
        </w:rPr>
        <w:t>hallenges and to review governance, the first away day took place in Autumn 2015, with the next session being scheduled for Winter 2016;</w:t>
      </w:r>
    </w:p>
    <w:p w:rsidR="0037048E" w:rsidRPr="00987798" w:rsidRDefault="00726B76" w:rsidP="00AF200D">
      <w:pPr>
        <w:pStyle w:val="PlainText"/>
        <w:numPr>
          <w:ilvl w:val="0"/>
          <w:numId w:val="4"/>
        </w:numPr>
        <w:jc w:val="both"/>
        <w:rPr>
          <w:rFonts w:ascii="Arial" w:eastAsia="Arial" w:hAnsi="Arial" w:cs="Arial"/>
          <w:sz w:val="24"/>
          <w:szCs w:val="24"/>
        </w:rPr>
      </w:pPr>
      <w:r w:rsidRPr="00987798">
        <w:rPr>
          <w:rFonts w:ascii="Arial" w:eastAsia="Malgun Gothic" w:hAnsi="Arial" w:cs="Arial"/>
          <w:sz w:val="24"/>
          <w:szCs w:val="24"/>
        </w:rPr>
        <w:t>In Autumn 2015, to undertake a Resources Review, with support from external advisors Keppie Massie and chaired by Jim C</w:t>
      </w:r>
      <w:r w:rsidRPr="00987798">
        <w:rPr>
          <w:rFonts w:ascii="Arial" w:eastAsia="Malgun Gothic" w:hAnsi="Arial" w:cs="Arial"/>
          <w:sz w:val="24"/>
          <w:szCs w:val="24"/>
        </w:rPr>
        <w:t xml:space="preserve">arter, focussing on City Deal income streams potentially impacted upon by changes to Government policy, and the pace of housing delivery – a direct driver of City Deal income; </w:t>
      </w:r>
    </w:p>
    <w:p w:rsidR="0037048E" w:rsidRPr="00987798" w:rsidRDefault="00726B76" w:rsidP="00AF200D">
      <w:pPr>
        <w:pStyle w:val="PlainText"/>
        <w:numPr>
          <w:ilvl w:val="0"/>
          <w:numId w:val="4"/>
        </w:numPr>
        <w:jc w:val="both"/>
        <w:rPr>
          <w:rFonts w:ascii="Arial" w:eastAsia="Malgun Gothic" w:hAnsi="Arial" w:cs="Arial"/>
          <w:i/>
          <w:color w:val="000000" w:themeColor="text1"/>
          <w:sz w:val="24"/>
          <w:szCs w:val="24"/>
        </w:rPr>
      </w:pPr>
      <w:r w:rsidRPr="00987798">
        <w:rPr>
          <w:rFonts w:ascii="Arial" w:eastAsia="Malgun Gothic" w:hAnsi="Arial" w:cs="Arial"/>
          <w:sz w:val="24"/>
          <w:szCs w:val="24"/>
        </w:rPr>
        <w:t>In Winter 2015, to ask UCLAN and Chorley Borough Council to attend City Deal E&amp;</w:t>
      </w:r>
      <w:r w:rsidRPr="00987798">
        <w:rPr>
          <w:rFonts w:ascii="Arial" w:eastAsia="Malgun Gothic" w:hAnsi="Arial" w:cs="Arial"/>
          <w:sz w:val="24"/>
          <w:szCs w:val="24"/>
        </w:rPr>
        <w:t xml:space="preserve">SB meetings, initially as observers. UCLAN attended their first meeting in June 2016 in this capacity and Chorley have agreed to attend from September 2016; </w:t>
      </w:r>
    </w:p>
    <w:p w:rsidR="00AB6137" w:rsidRPr="00987798" w:rsidRDefault="00726B76" w:rsidP="00AF200D">
      <w:pPr>
        <w:pStyle w:val="PlainText"/>
        <w:numPr>
          <w:ilvl w:val="0"/>
          <w:numId w:val="4"/>
        </w:numPr>
        <w:jc w:val="both"/>
        <w:rPr>
          <w:rFonts w:ascii="Arial" w:eastAsia="Malgun Gothic" w:hAnsi="Arial" w:cs="Arial"/>
          <w:sz w:val="24"/>
          <w:szCs w:val="24"/>
        </w:rPr>
      </w:pPr>
      <w:r w:rsidRPr="00987798">
        <w:rPr>
          <w:rFonts w:ascii="Arial" w:eastAsia="Malgun Gothic" w:hAnsi="Arial" w:cs="Arial"/>
          <w:sz w:val="24"/>
          <w:szCs w:val="24"/>
        </w:rPr>
        <w:lastRenderedPageBreak/>
        <w:t xml:space="preserve">In Winter 2015, and as part of the LEPs wider marketing activity, to ask the Chief Executive of </w:t>
      </w:r>
      <w:r w:rsidRPr="00987798">
        <w:rPr>
          <w:rFonts w:ascii="Arial" w:eastAsia="Malgun Gothic" w:hAnsi="Arial" w:cs="Arial"/>
          <w:sz w:val="24"/>
          <w:szCs w:val="24"/>
        </w:rPr>
        <w:t>Marketing Lancashire (ML) to provide strategic marketing support and advice. The Chief Executive of ML now attends all E&amp;SB meetings as well as inputting into the communications and marketing grou</w:t>
      </w:r>
      <w:r>
        <w:rPr>
          <w:rFonts w:ascii="Arial" w:eastAsia="Malgun Gothic" w:hAnsi="Arial" w:cs="Arial"/>
          <w:sz w:val="24"/>
          <w:szCs w:val="24"/>
        </w:rPr>
        <w:t>p</w:t>
      </w:r>
      <w:r>
        <w:rPr>
          <w:rFonts w:ascii="Arial" w:eastAsia="Malgun Gothic" w:hAnsi="Arial" w:cs="Arial"/>
          <w:sz w:val="24"/>
          <w:szCs w:val="24"/>
        </w:rPr>
        <w:t>; and</w:t>
      </w:r>
    </w:p>
    <w:p w:rsidR="0037048E" w:rsidRPr="00987798" w:rsidRDefault="00726B76" w:rsidP="00AF200D">
      <w:pPr>
        <w:pStyle w:val="PlainText"/>
        <w:numPr>
          <w:ilvl w:val="0"/>
          <w:numId w:val="4"/>
        </w:numPr>
        <w:jc w:val="both"/>
        <w:rPr>
          <w:rFonts w:ascii="Arial" w:hAnsi="Arial" w:cs="Arial"/>
          <w:sz w:val="22"/>
          <w:szCs w:val="22"/>
        </w:rPr>
      </w:pPr>
      <w:r w:rsidRPr="00987798">
        <w:rPr>
          <w:rFonts w:ascii="Arial" w:eastAsia="Malgun Gothic" w:hAnsi="Arial" w:cs="Arial"/>
          <w:sz w:val="24"/>
          <w:szCs w:val="24"/>
        </w:rPr>
        <w:t xml:space="preserve">In Spring 2016, to work with the Performance Committee to provide assurance with regard to the delivery of major City Deal highways infrastructure. </w:t>
      </w:r>
    </w:p>
    <w:p w:rsidR="0037048E" w:rsidRDefault="0037048E" w:rsidP="00AF200D">
      <w:pPr>
        <w:pStyle w:val="PlainText"/>
        <w:ind w:left="1440"/>
        <w:jc w:val="both"/>
        <w:rPr>
          <w:b/>
          <w:sz w:val="22"/>
          <w:szCs w:val="22"/>
        </w:rPr>
      </w:pPr>
    </w:p>
    <w:p w:rsidR="0037048E" w:rsidRPr="005C07FA" w:rsidRDefault="00726B76" w:rsidP="00AF200D">
      <w:pPr>
        <w:ind w:left="720"/>
        <w:jc w:val="both"/>
        <w:rPr>
          <w:rFonts w:ascii="Arial" w:eastAsia="Malgun Gothic" w:hAnsi="Arial" w:cs="Arial"/>
          <w:sz w:val="24"/>
          <w:szCs w:val="24"/>
        </w:rPr>
      </w:pPr>
      <w:r w:rsidRPr="00987798">
        <w:rPr>
          <w:rFonts w:ascii="Arial" w:eastAsia="Malgun Gothic" w:hAnsi="Arial" w:cs="Arial"/>
          <w:b/>
          <w:i/>
          <w:sz w:val="24"/>
          <w:szCs w:val="24"/>
        </w:rPr>
        <w:t>Resources Review - Income</w:t>
      </w:r>
      <w:r w:rsidRPr="00987798">
        <w:rPr>
          <w:rFonts w:ascii="Arial" w:eastAsia="Malgun Gothic" w:hAnsi="Arial" w:cs="Arial"/>
          <w:b/>
          <w:sz w:val="24"/>
          <w:szCs w:val="24"/>
        </w:rPr>
        <w:t>:</w:t>
      </w:r>
      <w:r w:rsidRPr="00987798">
        <w:rPr>
          <w:rFonts w:ascii="Arial" w:eastAsia="Malgun Gothic" w:hAnsi="Arial" w:cs="Arial"/>
          <w:sz w:val="24"/>
          <w:szCs w:val="24"/>
        </w:rPr>
        <w:t xml:space="preserve"> In Autumn 2015 it was evident that the Government were </w:t>
      </w:r>
      <w:r w:rsidRPr="00987798">
        <w:rPr>
          <w:rFonts w:ascii="Arial" w:eastAsia="Malgun Gothic" w:hAnsi="Arial" w:cs="Arial"/>
          <w:sz w:val="24"/>
          <w:szCs w:val="24"/>
        </w:rPr>
        <w:t>proposing potential chan</w:t>
      </w:r>
      <w:r w:rsidRPr="00987798">
        <w:rPr>
          <w:rFonts w:ascii="Arial" w:eastAsia="Malgun Gothic" w:hAnsi="Arial" w:cs="Arial"/>
          <w:sz w:val="24"/>
          <w:szCs w:val="24"/>
        </w:rPr>
        <w:t>ges to three important sources of City Deal income: New Homes Bonus (NHB); Community Infrastructure Levy (CIL); and business rates (NNDR). At the time the City Deal was signed it was understood by the Councils and by Government that the City Deal Infrastru</w:t>
      </w:r>
      <w:r w:rsidRPr="00987798">
        <w:rPr>
          <w:rFonts w:ascii="Arial" w:eastAsia="Malgun Gothic" w:hAnsi="Arial" w:cs="Arial"/>
          <w:sz w:val="24"/>
          <w:szCs w:val="24"/>
        </w:rPr>
        <w:t xml:space="preserve">cture Delivery Fund (IDF) was dependent on these income streams and the City Deal agreement therefore </w:t>
      </w:r>
      <w:r>
        <w:rPr>
          <w:rFonts w:ascii="Arial" w:eastAsia="Malgun Gothic" w:hAnsi="Arial" w:cs="Arial"/>
          <w:sz w:val="24"/>
          <w:szCs w:val="24"/>
        </w:rPr>
        <w:t>acknowledges that</w:t>
      </w:r>
      <w:r w:rsidRPr="00987798">
        <w:rPr>
          <w:rFonts w:ascii="Arial" w:eastAsia="Malgun Gothic" w:hAnsi="Arial" w:cs="Arial"/>
          <w:sz w:val="24"/>
          <w:szCs w:val="24"/>
        </w:rPr>
        <w:t xml:space="preserve"> local partners and Government will review the Deal should changes be made by Government to these funding streams. Following informal dis</w:t>
      </w:r>
      <w:r w:rsidRPr="00987798">
        <w:rPr>
          <w:rFonts w:ascii="Arial" w:eastAsia="Malgun Gothic" w:hAnsi="Arial" w:cs="Arial"/>
          <w:sz w:val="24"/>
          <w:szCs w:val="24"/>
        </w:rPr>
        <w:t>cussions with civil servants</w:t>
      </w:r>
      <w:r w:rsidRPr="0021326A">
        <w:rPr>
          <w:rFonts w:ascii="Arial" w:eastAsia="Malgun Gothic" w:hAnsi="Arial" w:cs="Arial"/>
          <w:sz w:val="24"/>
          <w:szCs w:val="24"/>
        </w:rPr>
        <w:t xml:space="preserve">, </w:t>
      </w:r>
      <w:r w:rsidRPr="0021326A">
        <w:rPr>
          <w:rFonts w:ascii="Arial" w:eastAsia="Malgun Gothic" w:hAnsi="Arial" w:cs="Arial"/>
          <w:sz w:val="24"/>
          <w:szCs w:val="24"/>
        </w:rPr>
        <w:t>the E&amp;SB agreed to use external consultants, Keppie Massie, to help advise</w:t>
      </w:r>
      <w:r w:rsidRPr="00987798">
        <w:rPr>
          <w:rFonts w:ascii="Arial" w:eastAsia="Malgun Gothic" w:hAnsi="Arial" w:cs="Arial"/>
          <w:sz w:val="24"/>
          <w:szCs w:val="24"/>
        </w:rPr>
        <w:t xml:space="preserve"> </w:t>
      </w:r>
      <w:r w:rsidRPr="00987798">
        <w:rPr>
          <w:rFonts w:ascii="Arial" w:eastAsia="Malgun Gothic" w:hAnsi="Arial" w:cs="Arial"/>
          <w:sz w:val="24"/>
          <w:szCs w:val="24"/>
        </w:rPr>
        <w:t>on the potential impact on proposed changes. “</w:t>
      </w:r>
      <w:r w:rsidRPr="00987798">
        <w:rPr>
          <w:rFonts w:ascii="Arial" w:eastAsia="Malgun Gothic" w:hAnsi="Arial" w:cs="Arial"/>
          <w:b/>
          <w:i/>
          <w:sz w:val="24"/>
          <w:szCs w:val="24"/>
        </w:rPr>
        <w:t>Phase 1</w:t>
      </w:r>
      <w:r w:rsidRPr="00987798">
        <w:rPr>
          <w:rFonts w:ascii="Arial" w:eastAsia="Malgun Gothic" w:hAnsi="Arial" w:cs="Arial"/>
          <w:sz w:val="24"/>
          <w:szCs w:val="24"/>
        </w:rPr>
        <w:t>”</w:t>
      </w:r>
      <w:r>
        <w:rPr>
          <w:rFonts w:ascii="Arial" w:eastAsia="Malgun Gothic" w:hAnsi="Arial" w:cs="Arial"/>
          <w:sz w:val="24"/>
          <w:szCs w:val="24"/>
        </w:rPr>
        <w:t xml:space="preserve"> of the Resource Review (RR) commenced and concluded that it </w:t>
      </w:r>
      <w:r w:rsidRPr="005C07FA">
        <w:rPr>
          <w:rFonts w:ascii="Arial" w:eastAsia="Malgun Gothic" w:hAnsi="Arial" w:cs="Arial"/>
          <w:sz w:val="24"/>
          <w:szCs w:val="24"/>
        </w:rPr>
        <w:t xml:space="preserve">was not possible at this stage to robustly quantify the impact of potential changes </w:t>
      </w:r>
      <w:r w:rsidRPr="005C07FA">
        <w:rPr>
          <w:rFonts w:ascii="Arial" w:eastAsia="Malgun Gothic" w:hAnsi="Arial" w:cs="Arial"/>
          <w:sz w:val="24"/>
          <w:szCs w:val="24"/>
        </w:rPr>
        <w:t xml:space="preserve">to NNDR or </w:t>
      </w:r>
      <w:r w:rsidRPr="0021326A">
        <w:rPr>
          <w:rFonts w:ascii="Arial" w:eastAsia="Malgun Gothic" w:hAnsi="Arial" w:cs="Arial"/>
          <w:sz w:val="24"/>
          <w:szCs w:val="24"/>
        </w:rPr>
        <w:t xml:space="preserve">CIL (given that potential policy changes were insufficiently crystallised to enquire as to the potential financial implications) and with regard to NHB that the </w:t>
      </w:r>
      <w:r w:rsidRPr="0021326A">
        <w:rPr>
          <w:rFonts w:ascii="Arial" w:eastAsia="Malgun Gothic" w:hAnsi="Arial" w:cs="Arial"/>
          <w:sz w:val="24"/>
          <w:szCs w:val="24"/>
        </w:rPr>
        <w:t xml:space="preserve">IDF would be negatively impacted upon by between </w:t>
      </w:r>
      <w:r w:rsidRPr="0021326A">
        <w:rPr>
          <w:rFonts w:ascii="Arial" w:eastAsia="Malgun Gothic" w:hAnsi="Arial" w:cs="Arial"/>
          <w:sz w:val="24"/>
          <w:szCs w:val="24"/>
        </w:rPr>
        <w:t xml:space="preserve">£9M and £32M. The E&amp;SB considered a report on these findings at its meeting in May </w:t>
      </w:r>
      <w:r w:rsidRPr="0021326A">
        <w:rPr>
          <w:rFonts w:ascii="Arial" w:eastAsia="Malgun Gothic" w:hAnsi="Arial" w:cs="Arial"/>
          <w:sz w:val="24"/>
          <w:szCs w:val="24"/>
        </w:rPr>
        <w:t>and</w:t>
      </w:r>
      <w:r w:rsidRPr="0021326A">
        <w:rPr>
          <w:rFonts w:ascii="Arial" w:eastAsia="Malgun Gothic" w:hAnsi="Arial" w:cs="Arial"/>
          <w:sz w:val="24"/>
          <w:szCs w:val="24"/>
        </w:rPr>
        <w:t xml:space="preserve"> </w:t>
      </w:r>
      <w:r w:rsidRPr="0021326A">
        <w:rPr>
          <w:rFonts w:ascii="Arial" w:eastAsia="Malgun Gothic" w:hAnsi="Arial" w:cs="Arial"/>
          <w:sz w:val="24"/>
          <w:szCs w:val="24"/>
        </w:rPr>
        <w:t>agreed</w:t>
      </w:r>
      <w:r w:rsidRPr="0021326A">
        <w:rPr>
          <w:rFonts w:ascii="Arial" w:eastAsia="Malgun Gothic" w:hAnsi="Arial" w:cs="Arial"/>
          <w:sz w:val="24"/>
          <w:szCs w:val="24"/>
        </w:rPr>
        <w:t xml:space="preserve"> that</w:t>
      </w:r>
      <w:r w:rsidRPr="0021326A">
        <w:rPr>
          <w:rFonts w:ascii="Arial" w:eastAsia="Malgun Gothic" w:hAnsi="Arial" w:cs="Arial"/>
          <w:sz w:val="24"/>
          <w:szCs w:val="24"/>
        </w:rPr>
        <w:t xml:space="preserve"> it would be prudent to await Governments pronouncement on the level of NHB changes</w:t>
      </w:r>
      <w:r w:rsidRPr="005C07FA">
        <w:rPr>
          <w:rFonts w:ascii="Arial" w:eastAsia="Malgun Gothic" w:hAnsi="Arial" w:cs="Arial"/>
          <w:sz w:val="24"/>
          <w:szCs w:val="24"/>
        </w:rPr>
        <w:t xml:space="preserve"> before commencing formal </w:t>
      </w:r>
      <w:r w:rsidRPr="005C07FA">
        <w:rPr>
          <w:rFonts w:ascii="Arial" w:eastAsia="Malgun Gothic" w:hAnsi="Arial" w:cs="Arial"/>
          <w:sz w:val="24"/>
          <w:szCs w:val="24"/>
        </w:rPr>
        <w:t xml:space="preserve">negotiations with Government regarding the IDF deficit. In June the EU </w:t>
      </w:r>
      <w:r w:rsidRPr="005C07FA">
        <w:rPr>
          <w:rFonts w:ascii="Arial" w:eastAsia="Malgun Gothic" w:hAnsi="Arial" w:cs="Arial"/>
          <w:sz w:val="24"/>
          <w:szCs w:val="24"/>
        </w:rPr>
        <w:t>Referendum fundamentally changes the political landscape in the UK resulting in the departure of the Prime Minister and Chancellor</w:t>
      </w:r>
      <w:r w:rsidRPr="005C07FA">
        <w:rPr>
          <w:rFonts w:ascii="Arial" w:eastAsia="Malgun Gothic" w:hAnsi="Arial" w:cs="Arial"/>
          <w:sz w:val="24"/>
          <w:szCs w:val="24"/>
        </w:rPr>
        <w:t xml:space="preserve">. Given potential inertia as a result of these political changes, the summer break, economic uncertainty and immediate Government priorities </w:t>
      </w:r>
      <w:r w:rsidRPr="005C07FA">
        <w:rPr>
          <w:rFonts w:ascii="Arial" w:eastAsia="Malgun Gothic" w:hAnsi="Arial" w:cs="Arial"/>
          <w:sz w:val="24"/>
          <w:szCs w:val="24"/>
        </w:rPr>
        <w:t xml:space="preserve">no announcements (or indications as to a likely timescale) by Government have yet been made on NHB. </w:t>
      </w:r>
    </w:p>
    <w:p w:rsidR="0037048E" w:rsidRPr="005C07FA" w:rsidRDefault="0037048E" w:rsidP="00AF200D">
      <w:pPr>
        <w:jc w:val="both"/>
        <w:rPr>
          <w:rFonts w:ascii="Arial" w:eastAsia="Arial" w:hAnsi="Arial"/>
          <w:sz w:val="24"/>
          <w:szCs w:val="24"/>
        </w:rPr>
      </w:pPr>
    </w:p>
    <w:p w:rsidR="00AB6137" w:rsidRDefault="00726B76" w:rsidP="00AF200D">
      <w:pPr>
        <w:ind w:left="720"/>
        <w:jc w:val="both"/>
        <w:rPr>
          <w:rFonts w:ascii="Arial" w:eastAsia="Malgun Gothic" w:hAnsi="Arial" w:cs="Arial"/>
          <w:sz w:val="24"/>
          <w:szCs w:val="24"/>
        </w:rPr>
      </w:pPr>
      <w:r>
        <w:rPr>
          <w:rFonts w:ascii="Arial" w:eastAsia="Malgun Gothic" w:hAnsi="Arial" w:cs="Arial"/>
          <w:b/>
          <w:i/>
          <w:sz w:val="24"/>
          <w:szCs w:val="24"/>
        </w:rPr>
        <w:t>Resources Rev</w:t>
      </w:r>
      <w:r>
        <w:rPr>
          <w:rFonts w:ascii="Arial" w:eastAsia="Malgun Gothic" w:hAnsi="Arial" w:cs="Arial"/>
          <w:b/>
          <w:i/>
          <w:sz w:val="24"/>
          <w:szCs w:val="24"/>
        </w:rPr>
        <w:t xml:space="preserve">iew – Housing Delivery </w:t>
      </w:r>
      <w:r w:rsidRPr="00987798">
        <w:rPr>
          <w:rFonts w:ascii="Arial" w:eastAsia="Malgun Gothic" w:hAnsi="Arial" w:cs="Arial"/>
          <w:sz w:val="24"/>
          <w:szCs w:val="24"/>
        </w:rPr>
        <w:t xml:space="preserve">In parallel with the extensive work undertaken </w:t>
      </w:r>
      <w:r w:rsidRPr="00987798">
        <w:rPr>
          <w:rFonts w:ascii="Arial" w:eastAsia="Malgun Gothic" w:hAnsi="Arial" w:cs="Arial"/>
          <w:sz w:val="24"/>
          <w:szCs w:val="24"/>
        </w:rPr>
        <w:t xml:space="preserve">with regard to testing the assumptions and ongoing certainty of City Deal income streams the RR has also been considering, as </w:t>
      </w:r>
      <w:r w:rsidRPr="00987798">
        <w:rPr>
          <w:rFonts w:ascii="Arial" w:eastAsia="Malgun Gothic" w:hAnsi="Arial" w:cs="Arial"/>
          <w:b/>
          <w:sz w:val="24"/>
          <w:szCs w:val="24"/>
        </w:rPr>
        <w:t>“</w:t>
      </w:r>
      <w:r w:rsidRPr="00987798">
        <w:rPr>
          <w:rFonts w:ascii="Arial" w:eastAsia="Malgun Gothic" w:hAnsi="Arial" w:cs="Arial"/>
          <w:b/>
          <w:i/>
          <w:sz w:val="24"/>
          <w:szCs w:val="24"/>
        </w:rPr>
        <w:t>Phase</w:t>
      </w:r>
      <w:r>
        <w:rPr>
          <w:rFonts w:ascii="Arial" w:eastAsia="Malgun Gothic" w:hAnsi="Arial" w:cs="Arial"/>
          <w:b/>
          <w:i/>
          <w:sz w:val="24"/>
          <w:szCs w:val="24"/>
        </w:rPr>
        <w:t xml:space="preserve"> 2</w:t>
      </w:r>
      <w:r w:rsidRPr="00987798">
        <w:rPr>
          <w:rFonts w:ascii="Arial" w:eastAsia="Malgun Gothic" w:hAnsi="Arial" w:cs="Arial"/>
          <w:b/>
          <w:i/>
          <w:sz w:val="24"/>
          <w:szCs w:val="24"/>
        </w:rPr>
        <w:t>”</w:t>
      </w:r>
      <w:r w:rsidRPr="00987798">
        <w:rPr>
          <w:rFonts w:ascii="Arial" w:eastAsia="Malgun Gothic" w:hAnsi="Arial" w:cs="Arial"/>
          <w:sz w:val="24"/>
          <w:szCs w:val="24"/>
        </w:rPr>
        <w:t xml:space="preserve"> </w:t>
      </w:r>
      <w:r>
        <w:rPr>
          <w:rFonts w:ascii="Arial" w:eastAsia="Malgun Gothic" w:hAnsi="Arial" w:cs="Arial"/>
          <w:sz w:val="24"/>
          <w:szCs w:val="24"/>
        </w:rPr>
        <w:t>, the ability to deliver the quantum of new housin</w:t>
      </w:r>
      <w:r>
        <w:rPr>
          <w:rFonts w:ascii="Arial" w:eastAsia="Malgun Gothic" w:hAnsi="Arial" w:cs="Arial"/>
          <w:sz w:val="24"/>
          <w:szCs w:val="24"/>
        </w:rPr>
        <w:t>g within the 10 year City Deal Period. As well as being a direct and quantifiable output of the City Deal new homes also provide two income streams into the City Deal</w:t>
      </w:r>
      <w:r w:rsidRPr="00987798">
        <w:rPr>
          <w:rFonts w:ascii="Arial" w:eastAsia="Malgun Gothic" w:hAnsi="Arial" w:cs="Arial"/>
          <w:sz w:val="24"/>
          <w:szCs w:val="24"/>
        </w:rPr>
        <w:t xml:space="preserve"> – CIL and NHB. The E&amp;SB in June considered a report by KM which set out the findings of a</w:t>
      </w:r>
      <w:r w:rsidRPr="00987798">
        <w:rPr>
          <w:rFonts w:ascii="Arial" w:eastAsia="Malgun Gothic" w:hAnsi="Arial" w:cs="Arial"/>
          <w:sz w:val="24"/>
          <w:szCs w:val="24"/>
        </w:rPr>
        <w:t xml:space="preserve">n extensive analysis by KM, based </w:t>
      </w:r>
      <w:r>
        <w:rPr>
          <w:rFonts w:ascii="Arial" w:eastAsia="Malgun Gothic" w:hAnsi="Arial" w:cs="Arial"/>
          <w:sz w:val="24"/>
          <w:szCs w:val="24"/>
        </w:rPr>
        <w:t xml:space="preserve">on </w:t>
      </w:r>
      <w:r w:rsidRPr="00987798">
        <w:rPr>
          <w:rFonts w:ascii="Arial" w:eastAsia="Malgun Gothic" w:hAnsi="Arial" w:cs="Arial"/>
          <w:sz w:val="24"/>
          <w:szCs w:val="24"/>
        </w:rPr>
        <w:t>one to one meetings with the main house-builders active in the City Deal area, detailed discussions with the LPAs and KMs own industry knowledge. This analysis provisionally concludes that the mobilisation period for th</w:t>
      </w:r>
      <w:r w:rsidRPr="00987798">
        <w:rPr>
          <w:rFonts w:ascii="Arial" w:eastAsia="Malgun Gothic" w:hAnsi="Arial" w:cs="Arial"/>
          <w:sz w:val="24"/>
          <w:szCs w:val="24"/>
        </w:rPr>
        <w:t xml:space="preserve">e house builders has been longer than anticipated and that full delivery of the 17,500 could take </w:t>
      </w:r>
      <w:r>
        <w:rPr>
          <w:rFonts w:ascii="Arial" w:eastAsia="Malgun Gothic" w:hAnsi="Arial" w:cs="Arial"/>
          <w:sz w:val="24"/>
          <w:szCs w:val="24"/>
        </w:rPr>
        <w:t xml:space="preserve">up to </w:t>
      </w:r>
      <w:r w:rsidRPr="00987798">
        <w:rPr>
          <w:rFonts w:ascii="Arial" w:eastAsia="Malgun Gothic" w:hAnsi="Arial" w:cs="Arial"/>
          <w:sz w:val="24"/>
          <w:szCs w:val="24"/>
        </w:rPr>
        <w:t xml:space="preserve">15 years to complete, with the infrastructure programme remaining as a 10 year delivery programme. Since this analysis was undertaken the Government have made further policy announcements with regard to the HCA undertaking “direct delivery” of housing and </w:t>
      </w:r>
      <w:r w:rsidRPr="00987798">
        <w:rPr>
          <w:rFonts w:ascii="Arial" w:eastAsia="Malgun Gothic" w:hAnsi="Arial" w:cs="Arial"/>
          <w:sz w:val="24"/>
          <w:szCs w:val="24"/>
        </w:rPr>
        <w:t>the impact of this on the City Deal is currently being evaluated – it is possible that this could increase the number of houses capable of being delivered in the 10 year original period. The analysis by KM also demonstrates that without a City Deal the sca</w:t>
      </w:r>
      <w:r w:rsidRPr="00987798">
        <w:rPr>
          <w:rFonts w:ascii="Arial" w:eastAsia="Malgun Gothic" w:hAnsi="Arial" w:cs="Arial"/>
          <w:sz w:val="24"/>
          <w:szCs w:val="24"/>
        </w:rPr>
        <w:t xml:space="preserve">le of house building in Central Lancashire would be significantly under that being achieved and forecast with a City Deal, as set out below. </w:t>
      </w: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726B76" w:rsidP="00AF200D">
      <w:pPr>
        <w:jc w:val="both"/>
        <w:rPr>
          <w:rFonts w:ascii="Arial" w:eastAsia="Malgun Gothic" w:hAnsi="Arial" w:cs="Arial"/>
          <w:sz w:val="24"/>
          <w:szCs w:val="24"/>
        </w:rPr>
      </w:pPr>
    </w:p>
    <w:p w:rsidR="0021326A" w:rsidRDefault="00AF200D" w:rsidP="00AF200D">
      <w:pPr>
        <w:jc w:val="both"/>
        <w:rPr>
          <w:rFonts w:ascii="Arial" w:eastAsia="Malgun Gothic" w:hAnsi="Arial" w:cs="Arial"/>
          <w:sz w:val="24"/>
          <w:szCs w:val="24"/>
        </w:rPr>
      </w:pPr>
      <w:r>
        <w:rPr>
          <w:rFonts w:ascii="Arial" w:eastAsia="Malgun Gothic" w:hAnsi="Arial" w:cs="Arial"/>
          <w:sz w:val="24"/>
          <w:szCs w:val="24"/>
        </w:rPr>
        <w:t xml:space="preserve">          </w:t>
      </w:r>
      <w:r w:rsidR="00726B76" w:rsidRPr="0021326A">
        <w:rPr>
          <w:rFonts w:ascii="Arial" w:eastAsia="Malgun Gothic" w:hAnsi="Arial" w:cs="Arial"/>
          <w:noProof/>
          <w:sz w:val="24"/>
          <w:szCs w:val="24"/>
        </w:rPr>
        <w:drawing>
          <wp:inline distT="0" distB="0" distL="0" distR="0">
            <wp:extent cx="5705475" cy="351300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var/mobile/Containers/Data/Application/CB211C78-75AB-488D-BC2B-C78FFC436001/tmp/imag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11513" cy="3516721"/>
                    </a:xfrm>
                    <a:prstGeom prst="rect">
                      <a:avLst/>
                    </a:prstGeom>
                    <a:noFill/>
                    <a:ln cap="flat">
                      <a:noFill/>
                    </a:ln>
                  </pic:spPr>
                </pic:pic>
              </a:graphicData>
            </a:graphic>
          </wp:inline>
        </w:drawing>
      </w:r>
    </w:p>
    <w:p w:rsidR="0021326A" w:rsidRDefault="00726B76" w:rsidP="00AF200D">
      <w:pPr>
        <w:jc w:val="both"/>
        <w:rPr>
          <w:rFonts w:ascii="Arial" w:eastAsia="Malgun Gothic" w:hAnsi="Arial" w:cs="Arial"/>
          <w:sz w:val="24"/>
          <w:szCs w:val="24"/>
        </w:rPr>
      </w:pPr>
    </w:p>
    <w:p w:rsidR="0021326A" w:rsidRDefault="00726B76" w:rsidP="00AF200D">
      <w:pPr>
        <w:ind w:left="720"/>
        <w:jc w:val="both"/>
        <w:rPr>
          <w:rFonts w:ascii="Arial" w:eastAsia="Malgun Gothic" w:hAnsi="Arial" w:cs="Arial"/>
          <w:sz w:val="24"/>
          <w:szCs w:val="24"/>
        </w:rPr>
      </w:pPr>
      <w:r w:rsidRPr="006F44FD">
        <w:rPr>
          <w:rFonts w:ascii="Arial" w:eastAsia="Malgun Gothic" w:hAnsi="Arial" w:cs="Arial"/>
          <w:b/>
          <w:i/>
          <w:sz w:val="24"/>
          <w:szCs w:val="24"/>
        </w:rPr>
        <w:t>Resources Review – Commercial Site Delivery</w:t>
      </w:r>
      <w:r w:rsidRPr="006F44FD">
        <w:rPr>
          <w:rFonts w:ascii="Arial" w:eastAsia="Malgun Gothic" w:hAnsi="Arial" w:cs="Arial"/>
          <w:sz w:val="24"/>
          <w:szCs w:val="24"/>
        </w:rPr>
        <w:t xml:space="preserve"> As part of the Phase 2 </w:t>
      </w:r>
      <w:r>
        <w:rPr>
          <w:rFonts w:ascii="Arial" w:eastAsia="Malgun Gothic" w:hAnsi="Arial" w:cs="Arial"/>
          <w:sz w:val="24"/>
          <w:szCs w:val="24"/>
        </w:rPr>
        <w:t>instructions</w:t>
      </w:r>
      <w:r w:rsidRPr="006F44FD">
        <w:rPr>
          <w:rFonts w:ascii="Arial" w:eastAsia="Malgun Gothic" w:hAnsi="Arial" w:cs="Arial"/>
          <w:sz w:val="24"/>
          <w:szCs w:val="24"/>
        </w:rPr>
        <w:t xml:space="preserve"> KM </w:t>
      </w:r>
      <w:r w:rsidRPr="006F44FD">
        <w:rPr>
          <w:rFonts w:ascii="Arial" w:eastAsia="Malgun Gothic" w:hAnsi="Arial" w:cs="Arial"/>
          <w:sz w:val="24"/>
          <w:szCs w:val="24"/>
        </w:rPr>
        <w:t xml:space="preserve">are currently undertaking an evaluation on the assumptions made at the outset of the City Deal with regard to the scale of the commercial sites in the City Deal and the timescales within which they can be delivered. The job numbers set out in the City </w:t>
      </w:r>
      <w:r w:rsidRPr="006F44FD">
        <w:rPr>
          <w:rFonts w:ascii="Arial" w:eastAsia="Malgun Gothic" w:hAnsi="Arial" w:cs="Arial"/>
          <w:sz w:val="24"/>
          <w:szCs w:val="24"/>
        </w:rPr>
        <w:t>Deal are a direct function of the commercial floor-space created and new commercial sites provide two key income streams to the City Deal – NNDR and CIL. The KM evaluation, which includes one to one discussions with developers and land-owners active in the</w:t>
      </w:r>
      <w:r w:rsidRPr="006F44FD">
        <w:rPr>
          <w:rFonts w:ascii="Arial" w:eastAsia="Malgun Gothic" w:hAnsi="Arial" w:cs="Arial"/>
          <w:sz w:val="24"/>
          <w:szCs w:val="24"/>
        </w:rPr>
        <w:t xml:space="preserve"> City Deal area, as well as detailed discussions with the LPAs and KMs own industry knowledge will be completed in mid- September. </w:t>
      </w:r>
    </w:p>
    <w:p w:rsidR="0021326A" w:rsidRDefault="00726B76" w:rsidP="00AF200D">
      <w:pPr>
        <w:jc w:val="both"/>
        <w:rPr>
          <w:rFonts w:ascii="Arial" w:eastAsia="Malgun Gothic" w:hAnsi="Arial" w:cs="Arial"/>
          <w:sz w:val="24"/>
          <w:szCs w:val="24"/>
        </w:rPr>
      </w:pPr>
    </w:p>
    <w:p w:rsidR="0037048E" w:rsidRPr="005C07FA" w:rsidRDefault="00726B76" w:rsidP="00AF200D">
      <w:pPr>
        <w:ind w:left="720"/>
        <w:jc w:val="both"/>
        <w:rPr>
          <w:rFonts w:ascii="Arial" w:eastAsia="Arial" w:hAnsi="Arial" w:cs="Arial"/>
          <w:sz w:val="24"/>
          <w:szCs w:val="24"/>
        </w:rPr>
      </w:pPr>
      <w:r>
        <w:rPr>
          <w:rFonts w:ascii="Arial" w:eastAsia="Malgun Gothic" w:hAnsi="Arial" w:cs="Arial"/>
          <w:sz w:val="24"/>
          <w:szCs w:val="24"/>
        </w:rPr>
        <w:t>P</w:t>
      </w:r>
      <w:r w:rsidRPr="00987798">
        <w:rPr>
          <w:rFonts w:ascii="Arial" w:eastAsia="Malgun Gothic" w:hAnsi="Arial" w:cs="Arial"/>
          <w:sz w:val="24"/>
          <w:szCs w:val="24"/>
        </w:rPr>
        <w:t xml:space="preserve">hases 1 and 2 of the Resources Review will be concluded in September with a final report </w:t>
      </w:r>
      <w:r w:rsidRPr="00987798">
        <w:rPr>
          <w:rFonts w:ascii="Arial" w:eastAsia="Malgun Gothic" w:hAnsi="Arial" w:cs="Arial"/>
          <w:sz w:val="24"/>
          <w:szCs w:val="24"/>
        </w:rPr>
        <w:t>being considered by the E&amp;SB at i</w:t>
      </w:r>
      <w:r w:rsidRPr="00987798">
        <w:rPr>
          <w:rFonts w:ascii="Arial" w:eastAsia="Malgun Gothic" w:hAnsi="Arial" w:cs="Arial"/>
          <w:sz w:val="24"/>
          <w:szCs w:val="24"/>
        </w:rPr>
        <w:t>ts meeting on 31</w:t>
      </w:r>
      <w:r w:rsidRPr="00987798">
        <w:rPr>
          <w:rFonts w:ascii="Arial" w:eastAsia="Malgun Gothic" w:hAnsi="Arial" w:cs="Arial"/>
          <w:sz w:val="24"/>
          <w:szCs w:val="24"/>
          <w:vertAlign w:val="superscript"/>
        </w:rPr>
        <w:t>st</w:t>
      </w:r>
      <w:r w:rsidRPr="00987798">
        <w:rPr>
          <w:rFonts w:ascii="Arial" w:eastAsia="Malgun Gothic" w:hAnsi="Arial" w:cs="Arial"/>
          <w:sz w:val="24"/>
          <w:szCs w:val="24"/>
        </w:rPr>
        <w:t xml:space="preserve"> September. This will set out the position pre EU referendum but </w:t>
      </w:r>
      <w:r w:rsidRPr="005C07FA">
        <w:rPr>
          <w:rFonts w:ascii="Arial" w:eastAsia="Malgun Gothic" w:hAnsi="Arial" w:cs="Arial"/>
          <w:sz w:val="24"/>
          <w:szCs w:val="24"/>
        </w:rPr>
        <w:t>will acknowledge the need, specifically with regard to pace of housing delivery, to continue to review</w:t>
      </w:r>
      <w:r w:rsidRPr="005C07FA">
        <w:rPr>
          <w:rFonts w:ascii="Arial" w:eastAsia="Malgun Gothic" w:hAnsi="Arial" w:cs="Arial"/>
          <w:sz w:val="24"/>
          <w:szCs w:val="24"/>
        </w:rPr>
        <w:t xml:space="preserve"> and monitor</w:t>
      </w:r>
      <w:r w:rsidRPr="005C07FA">
        <w:rPr>
          <w:rFonts w:ascii="Arial" w:eastAsia="Malgun Gothic" w:hAnsi="Arial" w:cs="Arial"/>
          <w:sz w:val="24"/>
          <w:szCs w:val="24"/>
        </w:rPr>
        <w:t xml:space="preserve"> market conditions post EU Referendum</w:t>
      </w:r>
      <w:r w:rsidRPr="005C07FA">
        <w:rPr>
          <w:rFonts w:ascii="Arial" w:eastAsia="Malgun Gothic" w:hAnsi="Arial" w:cs="Arial"/>
          <w:sz w:val="24"/>
          <w:szCs w:val="24"/>
        </w:rPr>
        <w:t xml:space="preserve"> as the full economic </w:t>
      </w:r>
      <w:r w:rsidRPr="005C07FA">
        <w:rPr>
          <w:rFonts w:ascii="Arial" w:eastAsia="Malgun Gothic" w:hAnsi="Arial" w:cs="Arial"/>
          <w:sz w:val="24"/>
          <w:szCs w:val="24"/>
        </w:rPr>
        <w:t>impact of the UK’s decision to leave the EU becomes known.</w:t>
      </w:r>
    </w:p>
    <w:p w:rsidR="0037048E" w:rsidRPr="005C07FA" w:rsidRDefault="0037048E" w:rsidP="00AF200D">
      <w:pPr>
        <w:rPr>
          <w:rFonts w:ascii="Arial" w:eastAsia="Malgun Gothic" w:hAnsi="Malgun Gothic"/>
          <w:b/>
          <w:i/>
          <w:sz w:val="24"/>
          <w:szCs w:val="24"/>
        </w:rPr>
      </w:pPr>
    </w:p>
    <w:p w:rsidR="0037048E" w:rsidRPr="005C07FA" w:rsidRDefault="00726B76" w:rsidP="00AF200D">
      <w:pPr>
        <w:ind w:firstLine="720"/>
        <w:rPr>
          <w:rFonts w:ascii="Arial" w:eastAsia="Malgun Gothic" w:hAnsi="Malgun Gothic"/>
          <w:b/>
          <w:i/>
          <w:sz w:val="24"/>
          <w:szCs w:val="24"/>
        </w:rPr>
      </w:pPr>
      <w:r w:rsidRPr="005C07FA">
        <w:rPr>
          <w:rFonts w:ascii="Arial" w:eastAsia="Malgun Gothic" w:hAnsi="Malgun Gothic"/>
          <w:b/>
          <w:i/>
          <w:sz w:val="24"/>
          <w:szCs w:val="24"/>
        </w:rPr>
        <w:t xml:space="preserve">Resources Review </w:t>
      </w:r>
      <w:r w:rsidRPr="005C07FA">
        <w:rPr>
          <w:rFonts w:ascii="Arial" w:eastAsia="Malgun Gothic" w:hAnsi="Malgun Gothic"/>
          <w:b/>
          <w:i/>
          <w:sz w:val="24"/>
          <w:szCs w:val="24"/>
        </w:rPr>
        <w:t>–</w:t>
      </w:r>
      <w:r w:rsidRPr="005C07FA">
        <w:rPr>
          <w:rFonts w:ascii="Arial" w:eastAsia="Malgun Gothic" w:hAnsi="Malgun Gothic"/>
          <w:b/>
          <w:i/>
          <w:sz w:val="24"/>
          <w:szCs w:val="24"/>
        </w:rPr>
        <w:t xml:space="preserve"> Costs</w:t>
      </w:r>
    </w:p>
    <w:p w:rsidR="0037048E" w:rsidRPr="00987798" w:rsidRDefault="00726B76" w:rsidP="00AF200D">
      <w:pPr>
        <w:ind w:left="720"/>
        <w:jc w:val="both"/>
        <w:rPr>
          <w:rFonts w:ascii="Arial" w:eastAsia="Arial" w:hAnsi="Arial" w:cs="Arial"/>
          <w:sz w:val="24"/>
          <w:szCs w:val="24"/>
        </w:rPr>
      </w:pPr>
      <w:r w:rsidRPr="005C07FA">
        <w:rPr>
          <w:rFonts w:ascii="Arial" w:eastAsia="Malgun Gothic" w:hAnsi="Arial" w:cs="Arial"/>
          <w:sz w:val="24"/>
          <w:szCs w:val="24"/>
        </w:rPr>
        <w:t xml:space="preserve">Given the potential Government changes to income streams, the RR has, so far, been </w:t>
      </w:r>
      <w:r w:rsidRPr="005C07FA">
        <w:rPr>
          <w:rFonts w:ascii="Arial" w:eastAsia="Malgun Gothic" w:hAnsi="Arial" w:cs="Arial"/>
          <w:sz w:val="24"/>
          <w:szCs w:val="24"/>
        </w:rPr>
        <w:t>focussed on certainty of income and site delivery. However, assurance that the City Deal infrastructure schemes are affordable within the City Deal IDF and that costs are be</w:t>
      </w:r>
      <w:r w:rsidRPr="005C07FA">
        <w:rPr>
          <w:rFonts w:ascii="Arial" w:eastAsia="Malgun Gothic" w:hAnsi="Arial" w:cs="Arial"/>
          <w:sz w:val="24"/>
          <w:szCs w:val="24"/>
        </w:rPr>
        <w:t xml:space="preserve">ing controlled is vital. It should be noted that the Infrastructure costs set out in the original City Deal agreement were based </w:t>
      </w:r>
      <w:r>
        <w:rPr>
          <w:rFonts w:ascii="Arial" w:eastAsia="Malgun Gothic" w:hAnsi="Arial" w:cs="Arial"/>
          <w:sz w:val="24"/>
          <w:szCs w:val="24"/>
        </w:rPr>
        <w:t>on</w:t>
      </w:r>
      <w:r w:rsidRPr="005C07FA">
        <w:rPr>
          <w:rFonts w:ascii="Arial" w:eastAsia="Malgun Gothic" w:hAnsi="Arial" w:cs="Arial"/>
          <w:sz w:val="24"/>
          <w:szCs w:val="24"/>
        </w:rPr>
        <w:t xml:space="preserve"> provisional estimates. If negotiation with Government with regard to Government changes to City Deal income streams is to ta</w:t>
      </w:r>
      <w:r w:rsidRPr="005C07FA">
        <w:rPr>
          <w:rFonts w:ascii="Arial" w:eastAsia="Malgun Gothic" w:hAnsi="Arial" w:cs="Arial"/>
          <w:sz w:val="24"/>
          <w:szCs w:val="24"/>
        </w:rPr>
        <w:t xml:space="preserve">ke place Government will </w:t>
      </w:r>
      <w:r w:rsidRPr="005C07FA">
        <w:rPr>
          <w:rFonts w:ascii="Arial" w:eastAsia="Malgun Gothic" w:hAnsi="Arial" w:cs="Arial"/>
          <w:sz w:val="24"/>
          <w:szCs w:val="24"/>
        </w:rPr>
        <w:t>need to be reassured that cost liabilities are being managed</w:t>
      </w:r>
      <w:r w:rsidRPr="005C07FA">
        <w:rPr>
          <w:rFonts w:ascii="Arial" w:eastAsia="Malgun Gothic" w:hAnsi="Arial" w:cs="Arial"/>
          <w:sz w:val="24"/>
          <w:szCs w:val="24"/>
        </w:rPr>
        <w:t xml:space="preserve">. Furthermore, the County Council will need to be reassured that the cash flow approvals are not breached due to cost increases. In recognition of this the E&amp;SB approved, </w:t>
      </w:r>
      <w:r w:rsidRPr="005C07FA">
        <w:rPr>
          <w:rFonts w:ascii="Arial" w:eastAsia="Malgun Gothic" w:hAnsi="Arial" w:cs="Arial"/>
          <w:sz w:val="24"/>
          <w:szCs w:val="24"/>
        </w:rPr>
        <w:t xml:space="preserve">in March 2016, a process to ensure final costs of infrastructure costs are approved and schemes are fully funded prior to implementation. (NB, Broughton Bypass </w:t>
      </w:r>
      <w:r w:rsidRPr="00987798">
        <w:rPr>
          <w:rFonts w:ascii="Arial" w:eastAsia="Malgun Gothic" w:hAnsi="Arial" w:cs="Arial"/>
          <w:sz w:val="24"/>
          <w:szCs w:val="24"/>
        </w:rPr>
        <w:t>and Preston Western Distribut</w:t>
      </w:r>
      <w:r>
        <w:rPr>
          <w:rFonts w:ascii="Arial" w:eastAsia="Malgun Gothic" w:hAnsi="Arial" w:cs="Arial"/>
          <w:sz w:val="24"/>
          <w:szCs w:val="24"/>
        </w:rPr>
        <w:t>o</w:t>
      </w:r>
      <w:r w:rsidRPr="00987798">
        <w:rPr>
          <w:rFonts w:ascii="Arial" w:eastAsia="Malgun Gothic" w:hAnsi="Arial" w:cs="Arial"/>
          <w:sz w:val="24"/>
          <w:szCs w:val="24"/>
        </w:rPr>
        <w:t>r (were/is) already subject to TfL and LEP approval via the Growth</w:t>
      </w:r>
      <w:r w:rsidRPr="00987798">
        <w:rPr>
          <w:rFonts w:ascii="Arial" w:eastAsia="Malgun Gothic" w:hAnsi="Arial" w:cs="Arial"/>
          <w:sz w:val="24"/>
          <w:szCs w:val="24"/>
        </w:rPr>
        <w:t xml:space="preserve"> Deal process) </w:t>
      </w:r>
    </w:p>
    <w:p w:rsidR="0037048E" w:rsidRDefault="0037048E" w:rsidP="00AF200D">
      <w:pPr>
        <w:jc w:val="both"/>
        <w:rPr>
          <w:rFonts w:ascii="Arial" w:eastAsia="Malgun Gothic" w:hAnsi="Malgun Gothic"/>
          <w:b/>
          <w:sz w:val="24"/>
          <w:szCs w:val="24"/>
        </w:rPr>
      </w:pPr>
    </w:p>
    <w:p w:rsidR="0037048E" w:rsidRDefault="00726B76" w:rsidP="00AF200D">
      <w:pPr>
        <w:ind w:firstLine="720"/>
        <w:jc w:val="both"/>
        <w:rPr>
          <w:rFonts w:ascii="Arial" w:eastAsia="Arial" w:hAnsi="Arial"/>
          <w:b/>
          <w:sz w:val="24"/>
          <w:szCs w:val="24"/>
        </w:rPr>
      </w:pPr>
      <w:r>
        <w:rPr>
          <w:rFonts w:ascii="Arial" w:eastAsia="Malgun Gothic" w:hAnsi="Malgun Gothic"/>
          <w:b/>
          <w:sz w:val="24"/>
          <w:szCs w:val="24"/>
        </w:rPr>
        <w:t xml:space="preserve">Design and Delivery of Infrastructure Schemes </w:t>
      </w:r>
    </w:p>
    <w:p w:rsidR="007C0F2D" w:rsidRDefault="00726B76" w:rsidP="00AF200D">
      <w:pPr>
        <w:ind w:left="720"/>
        <w:jc w:val="both"/>
        <w:rPr>
          <w:rFonts w:ascii="Arial" w:eastAsia="Malgun Gothic" w:hAnsi="Arial" w:cs="Arial"/>
          <w:sz w:val="24"/>
          <w:szCs w:val="24"/>
        </w:rPr>
      </w:pPr>
      <w:r w:rsidRPr="008C4845">
        <w:rPr>
          <w:rFonts w:ascii="Arial" w:eastAsia="Malgun Gothic" w:hAnsi="Arial" w:cs="Arial"/>
          <w:sz w:val="24"/>
          <w:szCs w:val="24"/>
        </w:rPr>
        <w:t xml:space="preserve">Since the outset of the City Deal a </w:t>
      </w:r>
      <w:r w:rsidRPr="008C4845">
        <w:rPr>
          <w:rFonts w:ascii="Arial" w:eastAsia="Malgun Gothic" w:hAnsi="Arial" w:cs="Arial"/>
          <w:sz w:val="24"/>
          <w:szCs w:val="24"/>
        </w:rPr>
        <w:t xml:space="preserve">“mixed economy” approach has been taken to the </w:t>
      </w:r>
      <w:r w:rsidRPr="008C4845">
        <w:rPr>
          <w:rFonts w:ascii="Arial" w:eastAsia="Malgun Gothic" w:hAnsi="Arial" w:cs="Arial"/>
          <w:sz w:val="24"/>
          <w:szCs w:val="24"/>
        </w:rPr>
        <w:t xml:space="preserve">design </w:t>
      </w:r>
      <w:r w:rsidRPr="008C4845">
        <w:rPr>
          <w:rFonts w:ascii="Arial" w:eastAsia="Malgun Gothic" w:hAnsi="Arial" w:cs="Arial"/>
          <w:sz w:val="24"/>
          <w:szCs w:val="24"/>
        </w:rPr>
        <w:t>and delivery of infrastructure schemes. The County Council, in its capacity as local Highway Authority, does have expertise in designing and delivering infrastructure schemes as well as working with pri</w:t>
      </w:r>
      <w:r w:rsidRPr="008C4845">
        <w:rPr>
          <w:rFonts w:ascii="Arial" w:eastAsia="Malgun Gothic" w:hAnsi="Arial" w:cs="Arial"/>
          <w:sz w:val="24"/>
          <w:szCs w:val="24"/>
        </w:rPr>
        <w:t xml:space="preserve">vate sector delivery contractors. </w:t>
      </w:r>
      <w:r w:rsidRPr="008C4845">
        <w:rPr>
          <w:rFonts w:ascii="Arial" w:eastAsia="Malgun Gothic" w:hAnsi="Arial" w:cs="Arial"/>
          <w:sz w:val="24"/>
          <w:szCs w:val="24"/>
        </w:rPr>
        <w:t>For example</w:t>
      </w:r>
      <w:r w:rsidRPr="008C4845">
        <w:rPr>
          <w:rFonts w:ascii="Arial" w:eastAsia="Malgun Gothic" w:hAnsi="Arial" w:cs="Arial"/>
          <w:sz w:val="24"/>
          <w:szCs w:val="24"/>
        </w:rPr>
        <w:t>:</w:t>
      </w:r>
      <w:r w:rsidRPr="008C4845">
        <w:rPr>
          <w:rFonts w:ascii="Arial" w:eastAsia="Malgun Gothic" w:hAnsi="Arial" w:cs="Arial"/>
          <w:sz w:val="24"/>
          <w:szCs w:val="24"/>
        </w:rPr>
        <w:t>-</w:t>
      </w:r>
    </w:p>
    <w:p w:rsidR="00AF200D" w:rsidRDefault="00AF200D" w:rsidP="00AF200D">
      <w:pPr>
        <w:ind w:left="720"/>
        <w:jc w:val="both"/>
        <w:rPr>
          <w:rFonts w:ascii="Arial" w:eastAsia="Malgun Gothic" w:hAnsi="Arial" w:cs="Arial"/>
          <w:sz w:val="24"/>
          <w:szCs w:val="24"/>
        </w:rPr>
      </w:pPr>
    </w:p>
    <w:p w:rsidR="007C0F2D" w:rsidRPr="005C07FA" w:rsidRDefault="00726B76" w:rsidP="00AF200D">
      <w:pPr>
        <w:pStyle w:val="ListParagraph"/>
        <w:numPr>
          <w:ilvl w:val="0"/>
          <w:numId w:val="8"/>
        </w:numPr>
        <w:jc w:val="both"/>
        <w:rPr>
          <w:rFonts w:ascii="Arial" w:eastAsia="Malgun Gothic" w:hAnsi="Arial" w:cs="Arial"/>
          <w:sz w:val="24"/>
          <w:szCs w:val="24"/>
        </w:rPr>
      </w:pPr>
      <w:r w:rsidRPr="005C07FA">
        <w:rPr>
          <w:rFonts w:ascii="Arial" w:eastAsia="Malgun Gothic" w:hAnsi="Arial" w:cs="Arial"/>
          <w:sz w:val="24"/>
          <w:szCs w:val="24"/>
        </w:rPr>
        <w:t>T</w:t>
      </w:r>
      <w:r w:rsidRPr="005C07FA">
        <w:rPr>
          <w:rFonts w:ascii="Arial" w:eastAsia="Malgun Gothic" w:hAnsi="Arial" w:cs="Arial"/>
          <w:sz w:val="24"/>
          <w:szCs w:val="24"/>
        </w:rPr>
        <w:t xml:space="preserve">he </w:t>
      </w:r>
      <w:proofErr w:type="spellStart"/>
      <w:r w:rsidRPr="005C07FA">
        <w:rPr>
          <w:rFonts w:ascii="Arial" w:eastAsia="Malgun Gothic" w:hAnsi="Arial" w:cs="Arial"/>
          <w:sz w:val="24"/>
          <w:szCs w:val="24"/>
        </w:rPr>
        <w:t>dualling</w:t>
      </w:r>
      <w:proofErr w:type="spellEnd"/>
      <w:r w:rsidRPr="005C07FA">
        <w:rPr>
          <w:rFonts w:ascii="Arial" w:eastAsia="Malgun Gothic" w:hAnsi="Arial" w:cs="Arial"/>
          <w:sz w:val="24"/>
          <w:szCs w:val="24"/>
        </w:rPr>
        <w:t xml:space="preserve"> of the A582 has been designed and delivered by the County Council</w:t>
      </w:r>
      <w:r w:rsidRPr="005C07FA">
        <w:rPr>
          <w:rFonts w:ascii="Arial" w:eastAsia="Malgun Gothic" w:hAnsi="Arial" w:cs="Arial"/>
          <w:sz w:val="24"/>
          <w:szCs w:val="24"/>
        </w:rPr>
        <w:t>;</w:t>
      </w:r>
    </w:p>
    <w:p w:rsidR="007C0F2D" w:rsidRPr="005C07FA" w:rsidRDefault="00726B76" w:rsidP="00AF200D">
      <w:pPr>
        <w:pStyle w:val="ListParagraph"/>
        <w:numPr>
          <w:ilvl w:val="0"/>
          <w:numId w:val="8"/>
        </w:numPr>
        <w:jc w:val="both"/>
        <w:rPr>
          <w:rFonts w:ascii="Arial" w:eastAsia="Malgun Gothic" w:hAnsi="Arial" w:cs="Arial"/>
          <w:sz w:val="24"/>
          <w:szCs w:val="24"/>
        </w:rPr>
      </w:pPr>
      <w:r w:rsidRPr="005C07FA">
        <w:rPr>
          <w:rFonts w:ascii="Arial" w:eastAsia="Malgun Gothic" w:hAnsi="Arial" w:cs="Arial"/>
          <w:sz w:val="24"/>
          <w:szCs w:val="24"/>
        </w:rPr>
        <w:t>T</w:t>
      </w:r>
      <w:r w:rsidRPr="005C07FA">
        <w:rPr>
          <w:rFonts w:ascii="Arial" w:eastAsia="Malgun Gothic" w:hAnsi="Arial" w:cs="Arial"/>
          <w:sz w:val="24"/>
          <w:szCs w:val="24"/>
        </w:rPr>
        <w:t xml:space="preserve">he </w:t>
      </w:r>
      <w:r w:rsidRPr="005C07FA">
        <w:rPr>
          <w:rFonts w:ascii="Arial" w:eastAsia="Malgun Gothic" w:hAnsi="Arial" w:cs="Arial"/>
          <w:sz w:val="24"/>
          <w:szCs w:val="24"/>
        </w:rPr>
        <w:t>Broughton Bypass has been designed by the County Council and is being delivered by Hochtief</w:t>
      </w:r>
      <w:r w:rsidRPr="005C07FA">
        <w:rPr>
          <w:rFonts w:ascii="Arial" w:eastAsia="Malgun Gothic" w:hAnsi="Arial" w:cs="Arial"/>
          <w:sz w:val="24"/>
          <w:szCs w:val="24"/>
        </w:rPr>
        <w:t>;</w:t>
      </w:r>
      <w:r w:rsidRPr="005C07FA">
        <w:rPr>
          <w:rFonts w:ascii="Arial" w:eastAsia="Malgun Gothic" w:hAnsi="Arial" w:cs="Arial"/>
          <w:sz w:val="24"/>
          <w:szCs w:val="24"/>
        </w:rPr>
        <w:t xml:space="preserve"> and </w:t>
      </w:r>
    </w:p>
    <w:p w:rsidR="0021326A" w:rsidRDefault="00726B76" w:rsidP="00AF200D">
      <w:pPr>
        <w:pStyle w:val="ListParagraph"/>
        <w:numPr>
          <w:ilvl w:val="0"/>
          <w:numId w:val="8"/>
        </w:numPr>
        <w:jc w:val="both"/>
        <w:rPr>
          <w:rFonts w:ascii="Arial" w:eastAsia="Malgun Gothic" w:hAnsi="Arial" w:cs="Arial"/>
          <w:sz w:val="24"/>
          <w:szCs w:val="24"/>
        </w:rPr>
      </w:pPr>
      <w:r w:rsidRPr="005C07FA">
        <w:rPr>
          <w:rFonts w:ascii="Arial" w:eastAsia="Malgun Gothic" w:hAnsi="Arial" w:cs="Arial"/>
          <w:sz w:val="24"/>
          <w:szCs w:val="24"/>
        </w:rPr>
        <w:t>T</w:t>
      </w:r>
      <w:r w:rsidRPr="005C07FA">
        <w:rPr>
          <w:rFonts w:ascii="Arial" w:eastAsia="Malgun Gothic" w:hAnsi="Arial" w:cs="Arial"/>
          <w:sz w:val="24"/>
          <w:szCs w:val="24"/>
        </w:rPr>
        <w:t>he Preston Western Distri</w:t>
      </w:r>
      <w:r w:rsidRPr="005C07FA">
        <w:rPr>
          <w:rFonts w:ascii="Arial" w:eastAsia="Malgun Gothic" w:hAnsi="Arial" w:cs="Arial"/>
          <w:sz w:val="24"/>
          <w:szCs w:val="24"/>
        </w:rPr>
        <w:t>but</w:t>
      </w:r>
      <w:r>
        <w:rPr>
          <w:rFonts w:ascii="Arial" w:eastAsia="Malgun Gothic" w:hAnsi="Arial" w:cs="Arial"/>
          <w:sz w:val="24"/>
          <w:szCs w:val="24"/>
        </w:rPr>
        <w:t>o</w:t>
      </w:r>
      <w:r w:rsidRPr="005C07FA">
        <w:rPr>
          <w:rFonts w:ascii="Arial" w:eastAsia="Malgun Gothic" w:hAnsi="Arial" w:cs="Arial"/>
          <w:sz w:val="24"/>
          <w:szCs w:val="24"/>
        </w:rPr>
        <w:t xml:space="preserve">r is being designed by the County Council with early contractor engagement by </w:t>
      </w:r>
      <w:proofErr w:type="spellStart"/>
      <w:r w:rsidRPr="005C07FA">
        <w:rPr>
          <w:rFonts w:ascii="Arial" w:eastAsia="Malgun Gothic" w:hAnsi="Arial" w:cs="Arial"/>
          <w:sz w:val="24"/>
          <w:szCs w:val="24"/>
        </w:rPr>
        <w:t>Costain</w:t>
      </w:r>
      <w:proofErr w:type="spellEnd"/>
    </w:p>
    <w:p w:rsidR="0021326A" w:rsidRPr="0021326A" w:rsidRDefault="00726B76" w:rsidP="00AF200D">
      <w:pPr>
        <w:ind w:left="360"/>
        <w:jc w:val="both"/>
        <w:rPr>
          <w:rFonts w:ascii="Arial" w:eastAsia="Malgun Gothic" w:hAnsi="Arial" w:cs="Arial"/>
          <w:sz w:val="24"/>
          <w:szCs w:val="24"/>
        </w:rPr>
      </w:pPr>
    </w:p>
    <w:p w:rsidR="0037048E" w:rsidRPr="0021326A" w:rsidRDefault="00726B76" w:rsidP="00AF200D">
      <w:pPr>
        <w:ind w:left="720"/>
      </w:pPr>
      <w:r w:rsidRPr="0021326A">
        <w:rPr>
          <w:rFonts w:ascii="Arial" w:hAnsi="Arial"/>
          <w:sz w:val="24"/>
        </w:rPr>
        <w:t xml:space="preserve">This mixed economy approach has merits and the use of the County Council to date has </w:t>
      </w:r>
      <w:r w:rsidRPr="0021326A">
        <w:rPr>
          <w:rFonts w:ascii="Arial" w:hAnsi="Arial"/>
          <w:sz w:val="24"/>
        </w:rPr>
        <w:t xml:space="preserve">allowed </w:t>
      </w:r>
      <w:r w:rsidRPr="0021326A">
        <w:rPr>
          <w:rFonts w:ascii="Arial" w:hAnsi="Arial"/>
          <w:sz w:val="24"/>
        </w:rPr>
        <w:t>City Deal projects</w:t>
      </w:r>
      <w:r w:rsidRPr="0021326A">
        <w:rPr>
          <w:rFonts w:ascii="Arial" w:hAnsi="Arial"/>
          <w:sz w:val="24"/>
        </w:rPr>
        <w:t xml:space="preserve"> to</w:t>
      </w:r>
      <w:r w:rsidRPr="0021326A">
        <w:rPr>
          <w:rFonts w:ascii="Arial" w:hAnsi="Arial"/>
          <w:sz w:val="24"/>
        </w:rPr>
        <w:t xml:space="preserve"> </w:t>
      </w:r>
      <w:r w:rsidRPr="0021326A">
        <w:rPr>
          <w:rFonts w:ascii="Arial" w:hAnsi="Arial"/>
          <w:sz w:val="24"/>
        </w:rPr>
        <w:t xml:space="preserve">“hit the ground running” </w:t>
      </w:r>
      <w:r w:rsidRPr="0021326A">
        <w:rPr>
          <w:rFonts w:ascii="Arial" w:hAnsi="Arial"/>
          <w:sz w:val="24"/>
        </w:rPr>
        <w:t xml:space="preserve">and to be essentially </w:t>
      </w:r>
      <w:r w:rsidRPr="0021326A">
        <w:rPr>
          <w:rFonts w:ascii="Arial" w:hAnsi="Arial"/>
          <w:sz w:val="24"/>
        </w:rPr>
        <w:t>fast-tracked</w:t>
      </w:r>
      <w:r w:rsidRPr="0021326A">
        <w:rPr>
          <w:rFonts w:ascii="Arial" w:hAnsi="Arial"/>
          <w:sz w:val="24"/>
        </w:rPr>
        <w:t xml:space="preserve"> </w:t>
      </w:r>
      <w:r w:rsidRPr="0021326A">
        <w:rPr>
          <w:rFonts w:ascii="Arial" w:hAnsi="Arial"/>
          <w:sz w:val="24"/>
        </w:rPr>
        <w:t>so that</w:t>
      </w:r>
      <w:r w:rsidRPr="0021326A">
        <w:rPr>
          <w:rFonts w:ascii="Arial" w:hAnsi="Arial"/>
          <w:sz w:val="24"/>
        </w:rPr>
        <w:t xml:space="preserve"> local partners and the LEP</w:t>
      </w:r>
      <w:r w:rsidRPr="0021326A">
        <w:rPr>
          <w:rFonts w:ascii="Arial" w:hAnsi="Arial"/>
          <w:sz w:val="24"/>
        </w:rPr>
        <w:t xml:space="preserve"> have been able</w:t>
      </w:r>
      <w:r w:rsidRPr="0021326A">
        <w:rPr>
          <w:rFonts w:ascii="Arial" w:hAnsi="Arial"/>
          <w:sz w:val="24"/>
        </w:rPr>
        <w:t xml:space="preserve"> to demonstrate tangible and active delivery progress immediately after the City Deal was signed. In the case of design, it has also provided the mechanism through which the quality of the desig</w:t>
      </w:r>
      <w:r w:rsidRPr="0021326A">
        <w:rPr>
          <w:rFonts w:ascii="Arial" w:hAnsi="Arial"/>
          <w:sz w:val="24"/>
        </w:rPr>
        <w:t xml:space="preserve">n in terms of satisfying the County Council in its capacity as highway authority that it will deliver a highway than can be adopted and thereafter maintained at the public expense, can be tested from the outset.   However it remains important for the E&amp;SB </w:t>
      </w:r>
      <w:r w:rsidRPr="0021326A">
        <w:rPr>
          <w:rFonts w:ascii="Arial" w:hAnsi="Arial"/>
          <w:sz w:val="24"/>
        </w:rPr>
        <w:t>to continue to challenge and test proposed design and delivery models in order to achieve the best outcomes for the City Deal. In recognition of this the Chair, at the September meeting of the E&amp;SB, will propose that for programme critical infrastructure s</w:t>
      </w:r>
      <w:r w:rsidRPr="0021326A">
        <w:rPr>
          <w:rFonts w:ascii="Arial" w:hAnsi="Arial"/>
          <w:sz w:val="24"/>
        </w:rPr>
        <w:t>chemes the E&amp;SB be asked to consider and make decisions on the design and delivery model i.e. direct delivery by the County Council or whether to tender the relevant scheme. The E&amp;SB will, thereafter, make recommendations to the County Council regarding de</w:t>
      </w:r>
      <w:r w:rsidRPr="0021326A">
        <w:rPr>
          <w:rFonts w:ascii="Arial" w:hAnsi="Arial"/>
          <w:sz w:val="24"/>
        </w:rPr>
        <w:t>sign and delivery routes.</w:t>
      </w:r>
    </w:p>
    <w:p w:rsidR="0037048E" w:rsidRDefault="0037048E" w:rsidP="00AF200D">
      <w:pPr>
        <w:jc w:val="both"/>
        <w:rPr>
          <w:rFonts w:ascii="Arial" w:eastAsia="Arial" w:hAnsi="Arial"/>
          <w:sz w:val="24"/>
          <w:szCs w:val="24"/>
        </w:rPr>
      </w:pPr>
    </w:p>
    <w:p w:rsidR="0037048E" w:rsidRDefault="00726B76" w:rsidP="00AF200D">
      <w:pPr>
        <w:ind w:firstLine="720"/>
        <w:jc w:val="both"/>
        <w:rPr>
          <w:rFonts w:ascii="Arial" w:eastAsia="Arial" w:hAnsi="Arial"/>
          <w:b/>
          <w:sz w:val="24"/>
          <w:szCs w:val="24"/>
        </w:rPr>
      </w:pPr>
      <w:r>
        <w:rPr>
          <w:rFonts w:ascii="Arial" w:eastAsia="Malgun Gothic" w:hAnsi="Malgun Gothic"/>
          <w:b/>
          <w:sz w:val="24"/>
          <w:szCs w:val="24"/>
        </w:rPr>
        <w:t xml:space="preserve">Programme Critical Implementation </w:t>
      </w:r>
    </w:p>
    <w:p w:rsidR="0037048E" w:rsidRDefault="00726B76" w:rsidP="00AF200D">
      <w:pPr>
        <w:ind w:left="720"/>
        <w:jc w:val="both"/>
        <w:rPr>
          <w:rFonts w:ascii="Arial" w:eastAsia="Malgun Gothic" w:hAnsi="Malgun Gothic"/>
          <w:sz w:val="24"/>
          <w:szCs w:val="24"/>
        </w:rPr>
      </w:pPr>
      <w:r>
        <w:rPr>
          <w:rFonts w:ascii="Arial" w:eastAsia="Malgun Gothic" w:hAnsi="Malgun Gothic"/>
          <w:sz w:val="24"/>
          <w:szCs w:val="24"/>
        </w:rPr>
        <w:t xml:space="preserve">The E&amp;SB consider detailed quarterly progress and monitoring reports on the Infrastructure </w:t>
      </w:r>
      <w:r>
        <w:rPr>
          <w:rFonts w:ascii="Arial" w:eastAsia="Malgun Gothic" w:hAnsi="Malgun Gothic"/>
          <w:sz w:val="24"/>
          <w:szCs w:val="24"/>
        </w:rPr>
        <w:t xml:space="preserve">and Delivery Plan and on the HCA Business and Disposal Plan. It is inevitable, on a </w:t>
      </w:r>
      <w:r>
        <w:rPr>
          <w:rFonts w:ascii="Arial" w:eastAsia="Malgun Gothic" w:hAnsi="Malgun Gothic"/>
          <w:sz w:val="24"/>
          <w:szCs w:val="24"/>
        </w:rPr>
        <w:t>programme</w:t>
      </w:r>
      <w:r>
        <w:rPr>
          <w:rFonts w:ascii="Arial" w:eastAsia="Malgun Gothic" w:hAnsi="Malgun Gothic"/>
          <w:sz w:val="24"/>
          <w:szCs w:val="24"/>
        </w:rPr>
        <w:t xml:space="preserve"> of the sc</w:t>
      </w:r>
      <w:r>
        <w:rPr>
          <w:rFonts w:ascii="Arial" w:eastAsia="Malgun Gothic" w:hAnsi="Malgun Gothic"/>
          <w:sz w:val="24"/>
          <w:szCs w:val="24"/>
        </w:rPr>
        <w:t>ale and complexity of the City Deal that project delays across all areas (infrastructure schemes, and housing and commercial sites) will occur. It is important for the E&amp;SB to be advised as to where those delays could affect whole City Deal programme deliv</w:t>
      </w:r>
      <w:r>
        <w:rPr>
          <w:rFonts w:ascii="Arial" w:eastAsia="Malgun Gothic" w:hAnsi="Malgun Gothic"/>
          <w:sz w:val="24"/>
          <w:szCs w:val="24"/>
        </w:rPr>
        <w:t>ery and at the request of the E&amp;SB in May programme critical issues emerging on the projects and development sites are now reported separately to the E&amp;SB in addition to being flagged in the quarterly monitoring reports. A delay on Broughton Bypass, one of</w:t>
      </w:r>
      <w:r>
        <w:rPr>
          <w:rFonts w:ascii="Arial" w:eastAsia="Malgun Gothic" w:hAnsi="Malgun Gothic"/>
          <w:sz w:val="24"/>
          <w:szCs w:val="24"/>
        </w:rPr>
        <w:t xml:space="preserve"> 4 key City Deal infrastructure projects was reported to the Executive in May 16 which highlighted a need for project managers to report emerging issues in a timely manner</w:t>
      </w:r>
      <w:r>
        <w:rPr>
          <w:rFonts w:ascii="Arial" w:eastAsia="Malgun Gothic" w:hAnsi="Malgun Gothic"/>
          <w:sz w:val="24"/>
          <w:szCs w:val="24"/>
        </w:rPr>
        <w:t xml:space="preserve"> and the introduction of additional explicit quarterly monitoring questions. </w:t>
      </w:r>
    </w:p>
    <w:p w:rsidR="0037048E" w:rsidRDefault="00AF200D" w:rsidP="00AF200D">
      <w:pPr>
        <w:jc w:val="both"/>
        <w:rPr>
          <w:rFonts w:ascii="Arial" w:eastAsia="Malgun Gothic" w:hAnsi="Malgun Gothic"/>
          <w:sz w:val="24"/>
          <w:szCs w:val="24"/>
        </w:rPr>
      </w:pPr>
      <w:r>
        <w:rPr>
          <w:rFonts w:ascii="Arial" w:eastAsia="Malgun Gothic" w:hAnsi="Malgun Gothic"/>
          <w:sz w:val="24"/>
          <w:szCs w:val="24"/>
        </w:rPr>
        <w:tab/>
      </w:r>
    </w:p>
    <w:p w:rsidR="0037048E" w:rsidRDefault="00726B76" w:rsidP="00AF200D">
      <w:pPr>
        <w:ind w:left="720"/>
        <w:jc w:val="both"/>
        <w:rPr>
          <w:rFonts w:ascii="Arial" w:eastAsia="Malgun Gothic" w:hAnsi="Malgun Gothic"/>
          <w:sz w:val="24"/>
          <w:szCs w:val="24"/>
        </w:rPr>
      </w:pPr>
      <w:r>
        <w:rPr>
          <w:rFonts w:ascii="Arial" w:eastAsia="Malgun Gothic" w:hAnsi="Malgun Gothic"/>
          <w:sz w:val="24"/>
          <w:szCs w:val="24"/>
        </w:rPr>
        <w:t>The E&amp;</w:t>
      </w:r>
      <w:r>
        <w:rPr>
          <w:rFonts w:ascii="Arial" w:eastAsia="Malgun Gothic" w:hAnsi="Malgun Gothic"/>
          <w:sz w:val="24"/>
          <w:szCs w:val="24"/>
        </w:rPr>
        <w:t xml:space="preserve">SB established a task and finish planning and housing delivery working group to </w:t>
      </w:r>
      <w:r>
        <w:rPr>
          <w:rFonts w:ascii="Arial" w:eastAsia="Malgun Gothic" w:hAnsi="Malgun Gothic"/>
          <w:sz w:val="24"/>
          <w:szCs w:val="24"/>
        </w:rPr>
        <w:t xml:space="preserve">review the processes already in place to provide assurance that housing sites are being brought forward in the most expedient way. This group has concluded </w:t>
      </w:r>
      <w:r>
        <w:rPr>
          <w:rFonts w:ascii="Arial" w:eastAsia="Malgun Gothic" w:hAnsi="Malgun Gothic"/>
          <w:sz w:val="24"/>
          <w:szCs w:val="24"/>
        </w:rPr>
        <w:t xml:space="preserve">its </w:t>
      </w:r>
      <w:r>
        <w:rPr>
          <w:rFonts w:ascii="Arial" w:eastAsia="Malgun Gothic" w:hAnsi="Malgun Gothic"/>
          <w:sz w:val="24"/>
          <w:szCs w:val="24"/>
        </w:rPr>
        <w:t>initial work and</w:t>
      </w:r>
      <w:r>
        <w:rPr>
          <w:rFonts w:ascii="Arial" w:eastAsia="Malgun Gothic" w:hAnsi="Malgun Gothic"/>
          <w:sz w:val="24"/>
          <w:szCs w:val="24"/>
        </w:rPr>
        <w:t xml:space="preserve"> the E&amp;SB will consider a report of the group at its September meeting. This report will highlight the need for a more development management approach to be taken, specifically with regard to the scale and timing of the input from statutory agencies, inclu</w:t>
      </w:r>
      <w:r>
        <w:rPr>
          <w:rFonts w:ascii="Arial" w:eastAsia="Malgun Gothic" w:hAnsi="Malgun Gothic"/>
          <w:sz w:val="24"/>
          <w:szCs w:val="24"/>
        </w:rPr>
        <w:t xml:space="preserve">ding the County Council, pre and post planning application submission. </w:t>
      </w:r>
    </w:p>
    <w:p w:rsidR="0037048E" w:rsidRDefault="0037048E" w:rsidP="00AF200D">
      <w:pPr>
        <w:jc w:val="both"/>
        <w:rPr>
          <w:rFonts w:ascii="Arial" w:eastAsia="Malgun Gothic" w:hAnsi="Malgun Gothic"/>
          <w:b/>
          <w:sz w:val="24"/>
          <w:szCs w:val="24"/>
        </w:rPr>
      </w:pPr>
    </w:p>
    <w:p w:rsidR="0037048E" w:rsidRDefault="00726B76" w:rsidP="00AF200D">
      <w:pPr>
        <w:ind w:firstLine="720"/>
        <w:jc w:val="both"/>
        <w:rPr>
          <w:rFonts w:ascii="Arial" w:eastAsia="Arial" w:hAnsi="Arial"/>
          <w:b/>
          <w:sz w:val="24"/>
          <w:szCs w:val="24"/>
        </w:rPr>
      </w:pPr>
      <w:r>
        <w:rPr>
          <w:rFonts w:ascii="Arial" w:eastAsia="Malgun Gothic" w:hAnsi="Malgun Gothic"/>
          <w:b/>
          <w:sz w:val="24"/>
          <w:szCs w:val="24"/>
        </w:rPr>
        <w:t>“</w:t>
      </w:r>
      <w:r>
        <w:rPr>
          <w:rFonts w:ascii="Arial" w:eastAsia="Malgun Gothic" w:hAnsi="Malgun Gothic"/>
          <w:b/>
          <w:sz w:val="24"/>
          <w:szCs w:val="24"/>
        </w:rPr>
        <w:t>What Next</w:t>
      </w:r>
      <w:r>
        <w:rPr>
          <w:rFonts w:ascii="Arial" w:eastAsia="Malgun Gothic" w:hAnsi="Malgun Gothic"/>
          <w:b/>
          <w:sz w:val="24"/>
          <w:szCs w:val="24"/>
        </w:rPr>
        <w:t>”</w:t>
      </w:r>
      <w:r>
        <w:rPr>
          <w:rFonts w:ascii="Arial" w:eastAsia="Malgun Gothic" w:hAnsi="Malgun Gothic"/>
          <w:b/>
          <w:sz w:val="24"/>
          <w:szCs w:val="24"/>
        </w:rPr>
        <w:t xml:space="preserve"> for City Deal </w:t>
      </w:r>
    </w:p>
    <w:p w:rsidR="0037048E" w:rsidRDefault="00726B76" w:rsidP="00AF200D">
      <w:pPr>
        <w:ind w:left="720"/>
        <w:jc w:val="both"/>
        <w:rPr>
          <w:rFonts w:ascii="Arial" w:eastAsia="Malgun Gothic" w:hAnsi="Malgun Gothic"/>
          <w:sz w:val="24"/>
          <w:szCs w:val="24"/>
        </w:rPr>
      </w:pPr>
      <w:r>
        <w:rPr>
          <w:rFonts w:ascii="Arial" w:eastAsia="Malgun Gothic" w:hAnsi="Malgun Gothic"/>
          <w:sz w:val="24"/>
          <w:szCs w:val="24"/>
        </w:rPr>
        <w:t xml:space="preserve">In considering a range of mitigation measures to respond to the challenges to income </w:t>
      </w:r>
      <w:r>
        <w:rPr>
          <w:rFonts w:ascii="Arial" w:eastAsia="Malgun Gothic" w:hAnsi="Malgun Gothic"/>
          <w:sz w:val="24"/>
          <w:szCs w:val="24"/>
        </w:rPr>
        <w:t>streams, and the pace of housing delivery, the E&amp;</w:t>
      </w:r>
      <w:r>
        <w:rPr>
          <w:rFonts w:ascii="Arial" w:eastAsia="Malgun Gothic" w:hAnsi="Malgun Gothic"/>
          <w:sz w:val="24"/>
          <w:szCs w:val="24"/>
        </w:rPr>
        <w:t xml:space="preserve">SB have taken the opportunity to look forward, over a 15-year horizon, to the Place of Central Lancashire. This has included, for example, presentations on the potential for a redeveloped railway station in Preston, potential for Garden Village proposals, </w:t>
      </w:r>
      <w:r>
        <w:rPr>
          <w:rFonts w:ascii="Arial" w:eastAsia="Malgun Gothic" w:hAnsi="Malgun Gothic"/>
          <w:sz w:val="24"/>
          <w:szCs w:val="24"/>
        </w:rPr>
        <w:t xml:space="preserve">Direct Delivery of housing by the HCA, the impact of </w:t>
      </w:r>
      <w:r>
        <w:rPr>
          <w:rFonts w:ascii="Arial" w:eastAsia="Malgun Gothic" w:hAnsi="Malgun Gothic"/>
          <w:sz w:val="24"/>
          <w:szCs w:val="24"/>
        </w:rPr>
        <w:lastRenderedPageBreak/>
        <w:t xml:space="preserve">the Governments Starter Homes policy in the area, the role UCLAN can play in the local area and a strengthened City Deal inward investment offer. </w:t>
      </w:r>
    </w:p>
    <w:p w:rsidR="0037048E" w:rsidRDefault="0037048E" w:rsidP="00AF200D">
      <w:pPr>
        <w:rPr>
          <w:rFonts w:ascii="Arial" w:eastAsia="Arial" w:hAnsi="Arial"/>
          <w:sz w:val="24"/>
          <w:szCs w:val="24"/>
        </w:rPr>
      </w:pPr>
    </w:p>
    <w:p w:rsidR="008C4845" w:rsidRDefault="00726B76" w:rsidP="00AF200D">
      <w:pPr>
        <w:ind w:left="720"/>
        <w:jc w:val="both"/>
        <w:rPr>
          <w:rFonts w:ascii="Arial" w:eastAsia="Malgun Gothic" w:hAnsi="Malgun Gothic"/>
          <w:b/>
          <w:sz w:val="24"/>
          <w:szCs w:val="24"/>
        </w:rPr>
      </w:pPr>
      <w:r w:rsidRPr="00987798">
        <w:rPr>
          <w:rFonts w:ascii="Arial" w:eastAsia="Malgun Gothic" w:hAnsi="Arial" w:cs="Arial"/>
          <w:sz w:val="24"/>
          <w:szCs w:val="24"/>
        </w:rPr>
        <w:t>The E&amp;SB has overseen detailed and valuable work with r</w:t>
      </w:r>
      <w:r w:rsidRPr="00987798">
        <w:rPr>
          <w:rFonts w:ascii="Arial" w:eastAsia="Malgun Gothic" w:hAnsi="Arial" w:cs="Arial"/>
          <w:sz w:val="24"/>
          <w:szCs w:val="24"/>
        </w:rPr>
        <w:t xml:space="preserve">egard to certainty of income and </w:t>
      </w:r>
      <w:r w:rsidRPr="00987798">
        <w:rPr>
          <w:rFonts w:ascii="Arial" w:eastAsia="Malgun Gothic" w:hAnsi="Arial" w:cs="Arial"/>
          <w:sz w:val="24"/>
          <w:szCs w:val="24"/>
        </w:rPr>
        <w:t>has put in place a number of measures to seek to control cost and manage programme challenges. However, given the scale of these challenges is likely to increase over the life-time of the City Deal, the E&amp;SB would like to u</w:t>
      </w:r>
      <w:r w:rsidRPr="00987798">
        <w:rPr>
          <w:rFonts w:ascii="Arial" w:eastAsia="Malgun Gothic" w:hAnsi="Arial" w:cs="Arial"/>
          <w:sz w:val="24"/>
          <w:szCs w:val="24"/>
        </w:rPr>
        <w:t>ndertake further work on these areas and to report back to the Performance Committee in Autumn. The E&amp;SB will also undertake more work to provide assurance to the local partners and the LEP that maximum social value is also being extracted from the signifi</w:t>
      </w:r>
      <w:r w:rsidRPr="00987798">
        <w:rPr>
          <w:rFonts w:ascii="Arial" w:eastAsia="Malgun Gothic" w:hAnsi="Arial" w:cs="Arial"/>
          <w:sz w:val="24"/>
          <w:szCs w:val="24"/>
        </w:rPr>
        <w:t>cant spending on infrastructure schemes and new housing and commercial sites</w:t>
      </w:r>
      <w:r>
        <w:rPr>
          <w:rFonts w:ascii="Arial" w:eastAsia="Malgun Gothic" w:hAnsi="Malgun Gothic"/>
          <w:b/>
          <w:sz w:val="24"/>
          <w:szCs w:val="24"/>
        </w:rPr>
        <w:tab/>
      </w:r>
    </w:p>
    <w:p w:rsidR="00AF200D" w:rsidRDefault="00AF200D" w:rsidP="00AF200D">
      <w:pPr>
        <w:ind w:left="720"/>
        <w:jc w:val="both"/>
        <w:rPr>
          <w:rFonts w:ascii="Arial" w:eastAsia="Malgun Gothic" w:hAnsi="Malgun Gothic"/>
          <w:b/>
          <w:sz w:val="24"/>
          <w:szCs w:val="24"/>
        </w:rPr>
      </w:pPr>
    </w:p>
    <w:p w:rsidR="0037048E" w:rsidRDefault="00726B76" w:rsidP="00AF200D">
      <w:pPr>
        <w:jc w:val="both"/>
        <w:rPr>
          <w:rFonts w:ascii="Arial" w:eastAsia="Malgun Gothic" w:hAnsi="Malgun Gothic"/>
          <w:b/>
          <w:sz w:val="24"/>
          <w:szCs w:val="24"/>
        </w:rPr>
      </w:pPr>
      <w:r w:rsidRPr="008C4845">
        <w:rPr>
          <w:rFonts w:ascii="Arial" w:eastAsia="Malgun Gothic" w:hAnsi="Malgun Gothic"/>
          <w:b/>
          <w:sz w:val="24"/>
          <w:szCs w:val="24"/>
        </w:rPr>
        <w:t>3.</w:t>
      </w:r>
      <w:r w:rsidRPr="008C4845">
        <w:rPr>
          <w:rFonts w:ascii="Arial" w:eastAsia="Malgun Gothic" w:hAnsi="Malgun Gothic"/>
          <w:b/>
          <w:sz w:val="24"/>
          <w:szCs w:val="24"/>
        </w:rPr>
        <w:tab/>
      </w:r>
      <w:r w:rsidRPr="008C4845">
        <w:rPr>
          <w:rFonts w:ascii="Arial" w:eastAsia="Malgun Gothic" w:hAnsi="Malgun Gothic"/>
          <w:b/>
          <w:sz w:val="24"/>
          <w:szCs w:val="24"/>
        </w:rPr>
        <w:t xml:space="preserve">Resources Review - Phase 3 </w:t>
      </w:r>
      <w:r w:rsidRPr="008C4845">
        <w:rPr>
          <w:rFonts w:ascii="Arial" w:eastAsia="Malgun Gothic" w:hAnsi="Malgun Gothic"/>
          <w:b/>
          <w:sz w:val="24"/>
          <w:szCs w:val="24"/>
        </w:rPr>
        <w:t>–</w:t>
      </w:r>
      <w:r w:rsidRPr="008C4845">
        <w:rPr>
          <w:rFonts w:ascii="Arial" w:eastAsia="Malgun Gothic" w:hAnsi="Malgun Gothic"/>
          <w:b/>
          <w:sz w:val="24"/>
          <w:szCs w:val="24"/>
        </w:rPr>
        <w:t xml:space="preserve"> Value for Money; Social Value; and Programme </w:t>
      </w:r>
      <w:r w:rsidRPr="008C4845">
        <w:rPr>
          <w:rFonts w:ascii="Arial" w:eastAsia="Malgun Gothic" w:hAnsi="Malgun Gothic"/>
          <w:b/>
          <w:sz w:val="24"/>
          <w:szCs w:val="24"/>
        </w:rPr>
        <w:tab/>
        <w:t>Implementation</w:t>
      </w:r>
    </w:p>
    <w:p w:rsidR="00AF200D" w:rsidRPr="008C4845" w:rsidRDefault="00AF200D" w:rsidP="00AF200D">
      <w:pPr>
        <w:jc w:val="both"/>
        <w:rPr>
          <w:rFonts w:ascii="Arial" w:eastAsia="Malgun Gothic" w:hAnsi="Malgun Gothic"/>
          <w:b/>
          <w:sz w:val="24"/>
          <w:szCs w:val="24"/>
        </w:rPr>
      </w:pPr>
    </w:p>
    <w:p w:rsidR="0037048E" w:rsidRDefault="00726B76" w:rsidP="00AF200D">
      <w:pPr>
        <w:ind w:left="720"/>
        <w:jc w:val="both"/>
        <w:rPr>
          <w:rFonts w:ascii="Arial" w:eastAsia="Malgun Gothic" w:hAnsi="Arial" w:cs="Arial"/>
          <w:sz w:val="24"/>
          <w:szCs w:val="24"/>
        </w:rPr>
      </w:pPr>
      <w:r w:rsidRPr="008C4845">
        <w:rPr>
          <w:rFonts w:ascii="Arial" w:eastAsia="Malgun Gothic" w:hAnsi="Arial" w:cs="Arial"/>
          <w:sz w:val="24"/>
          <w:szCs w:val="24"/>
        </w:rPr>
        <w:t>I</w:t>
      </w:r>
      <w:r w:rsidRPr="008C4845">
        <w:rPr>
          <w:rFonts w:ascii="Arial" w:eastAsia="Malgun Gothic" w:hAnsi="Arial" w:cs="Arial"/>
          <w:sz w:val="24"/>
          <w:szCs w:val="24"/>
        </w:rPr>
        <w:t>t is proposed that KM undertake further work in relation to value for money, socia</w:t>
      </w:r>
      <w:r w:rsidRPr="008C4845">
        <w:rPr>
          <w:rFonts w:ascii="Arial" w:eastAsia="Malgun Gothic" w:hAnsi="Arial" w:cs="Arial"/>
          <w:sz w:val="24"/>
          <w:szCs w:val="24"/>
        </w:rPr>
        <w:t xml:space="preserve">l value </w:t>
      </w:r>
      <w:r w:rsidRPr="008C4845">
        <w:rPr>
          <w:rFonts w:ascii="Arial" w:eastAsia="Malgun Gothic" w:hAnsi="Arial" w:cs="Arial"/>
          <w:sz w:val="24"/>
          <w:szCs w:val="24"/>
        </w:rPr>
        <w:t xml:space="preserve">and programme implementation to compliment the work done to date on income and housing and commercial site delivery projections. </w:t>
      </w:r>
      <w:r w:rsidRPr="008C4845">
        <w:rPr>
          <w:rFonts w:ascii="Arial" w:eastAsia="Malgun Gothic" w:hAnsi="Arial" w:cs="Arial"/>
          <w:sz w:val="24"/>
          <w:szCs w:val="24"/>
        </w:rPr>
        <w:t xml:space="preserve">This work, </w:t>
      </w:r>
      <w:r w:rsidRPr="008C4845">
        <w:rPr>
          <w:rFonts w:ascii="Arial" w:eastAsia="Malgun Gothic" w:hAnsi="Arial" w:cs="Arial"/>
          <w:b/>
          <w:sz w:val="24"/>
          <w:szCs w:val="24"/>
        </w:rPr>
        <w:t>“</w:t>
      </w:r>
      <w:r w:rsidRPr="008C4845">
        <w:rPr>
          <w:rFonts w:ascii="Arial" w:eastAsia="Malgun Gothic" w:hAnsi="Arial" w:cs="Arial"/>
          <w:b/>
          <w:i/>
          <w:sz w:val="24"/>
          <w:szCs w:val="24"/>
        </w:rPr>
        <w:t xml:space="preserve">Phase 3” </w:t>
      </w:r>
      <w:r w:rsidRPr="008C4845">
        <w:rPr>
          <w:rFonts w:ascii="Arial" w:eastAsia="Malgun Gothic" w:hAnsi="Arial" w:cs="Arial"/>
          <w:sz w:val="24"/>
          <w:szCs w:val="24"/>
        </w:rPr>
        <w:t xml:space="preserve">will complete the 2016/17 Resources Review and can provide a robust evidence base for the local partners and the LEP to </w:t>
      </w:r>
      <w:r w:rsidRPr="008C4845">
        <w:rPr>
          <w:rFonts w:ascii="Arial" w:eastAsia="Malgun Gothic" w:hAnsi="Arial" w:cs="Arial"/>
          <w:sz w:val="24"/>
          <w:szCs w:val="24"/>
        </w:rPr>
        <w:t xml:space="preserve">pursue </w:t>
      </w:r>
      <w:r w:rsidRPr="008C4845">
        <w:rPr>
          <w:rFonts w:ascii="Arial" w:eastAsia="Malgun Gothic" w:hAnsi="Arial" w:cs="Arial"/>
          <w:sz w:val="24"/>
          <w:szCs w:val="24"/>
        </w:rPr>
        <w:t xml:space="preserve">a potentially </w:t>
      </w:r>
      <w:r w:rsidRPr="008C4845">
        <w:rPr>
          <w:rFonts w:ascii="Arial" w:eastAsia="Malgun Gothic" w:hAnsi="Arial" w:cs="Arial"/>
          <w:sz w:val="24"/>
          <w:szCs w:val="24"/>
        </w:rPr>
        <w:t>“refreshed” City Deal proposition with Government. KM have considered the requirements and propose the following me</w:t>
      </w:r>
      <w:r w:rsidRPr="008C4845">
        <w:rPr>
          <w:rFonts w:ascii="Arial" w:eastAsia="Malgun Gothic" w:hAnsi="Arial" w:cs="Arial"/>
          <w:sz w:val="24"/>
          <w:szCs w:val="24"/>
        </w:rPr>
        <w:t xml:space="preserve">thodology and outcomes.  </w:t>
      </w:r>
    </w:p>
    <w:p w:rsidR="00AF200D" w:rsidRPr="00987798" w:rsidRDefault="00AF200D" w:rsidP="00AF200D">
      <w:pPr>
        <w:ind w:left="720"/>
        <w:jc w:val="both"/>
        <w:rPr>
          <w:rFonts w:ascii="Arial" w:eastAsia="Arial" w:hAnsi="Arial" w:cs="Arial"/>
          <w:color w:val="FF0000"/>
          <w:sz w:val="24"/>
          <w:szCs w:val="24"/>
        </w:rPr>
      </w:pPr>
    </w:p>
    <w:p w:rsidR="0037048E" w:rsidRDefault="00726B76" w:rsidP="00AF200D">
      <w:pPr>
        <w:ind w:firstLine="720"/>
        <w:jc w:val="both"/>
        <w:rPr>
          <w:rFonts w:ascii="Arial" w:eastAsia="Arial" w:hAnsi="Arial"/>
          <w:sz w:val="24"/>
          <w:szCs w:val="24"/>
          <w:u w:val="single"/>
        </w:rPr>
      </w:pPr>
      <w:r>
        <w:rPr>
          <w:rFonts w:ascii="Arial" w:eastAsia="Verdana" w:hAnsi="Verdana"/>
          <w:sz w:val="24"/>
          <w:szCs w:val="24"/>
          <w:u w:val="single"/>
        </w:rPr>
        <w:t xml:space="preserve">Part I </w:t>
      </w:r>
      <w:r>
        <w:rPr>
          <w:rFonts w:ascii="Arial" w:eastAsia="Verdana" w:hAnsi="Verdana"/>
          <w:sz w:val="24"/>
          <w:szCs w:val="24"/>
          <w:u w:val="single"/>
        </w:rPr>
        <w:t>–</w:t>
      </w:r>
      <w:r>
        <w:rPr>
          <w:rFonts w:ascii="Arial" w:eastAsia="Verdana" w:hAnsi="Verdana"/>
          <w:sz w:val="24"/>
          <w:szCs w:val="24"/>
          <w:u w:val="single"/>
        </w:rPr>
        <w:t xml:space="preserve"> Keeping Pace with Programme</w:t>
      </w:r>
    </w:p>
    <w:p w:rsidR="00275468" w:rsidRDefault="00726B76" w:rsidP="00AF200D">
      <w:pPr>
        <w:ind w:left="720"/>
        <w:jc w:val="both"/>
        <w:rPr>
          <w:rFonts w:ascii="Arial" w:eastAsia="Verdana" w:hAnsi="Verdana"/>
          <w:sz w:val="24"/>
          <w:szCs w:val="24"/>
        </w:rPr>
      </w:pPr>
      <w:r>
        <w:rPr>
          <w:rFonts w:ascii="Arial" w:eastAsia="Verdana" w:hAnsi="Verdana"/>
          <w:sz w:val="24"/>
          <w:szCs w:val="24"/>
        </w:rPr>
        <w:t xml:space="preserve">Part I could be achieved by looking at proposed timetables and checking whether the </w:t>
      </w:r>
      <w:r>
        <w:rPr>
          <w:rFonts w:ascii="Arial" w:eastAsia="Verdana" w:hAnsi="Verdana"/>
          <w:sz w:val="24"/>
          <w:szCs w:val="24"/>
        </w:rPr>
        <w:t>proposed delivery timetables are in keeping with existing projections or in line with any benchmarking that h</w:t>
      </w:r>
      <w:r>
        <w:rPr>
          <w:rFonts w:ascii="Arial" w:eastAsia="Verdana" w:hAnsi="Verdana"/>
          <w:sz w:val="24"/>
          <w:szCs w:val="24"/>
        </w:rPr>
        <w:t>as been undertaken.</w:t>
      </w:r>
      <w:r>
        <w:rPr>
          <w:rFonts w:ascii="Arial" w:eastAsia="Malgun Gothic" w:hAnsi="Malgun Gothic"/>
          <w:sz w:val="24"/>
          <w:szCs w:val="24"/>
        </w:rPr>
        <w:t xml:space="preserve"> </w:t>
      </w:r>
      <w:r>
        <w:rPr>
          <w:rFonts w:ascii="Arial" w:eastAsia="Verdana" w:hAnsi="Verdana"/>
          <w:sz w:val="24"/>
          <w:szCs w:val="24"/>
        </w:rPr>
        <w:t>Wherever delays have been observed, views will be needed as to whether other organisations would have faced the same problems or whether delays have been caused by reasons specific within the organisation. This will include a review</w:t>
      </w:r>
      <w:r>
        <w:rPr>
          <w:rFonts w:ascii="Arial" w:eastAsia="Verdana" w:hAnsi="Verdana"/>
          <w:sz w:val="24"/>
          <w:szCs w:val="24"/>
        </w:rPr>
        <w:t xml:space="preserve"> of</w:t>
      </w:r>
      <w:r>
        <w:rPr>
          <w:rFonts w:ascii="Arial" w:eastAsia="Verdana" w:hAnsi="Verdana"/>
          <w:sz w:val="24"/>
          <w:szCs w:val="24"/>
        </w:rPr>
        <w:t xml:space="preserve"> </w:t>
      </w:r>
      <w:r>
        <w:rPr>
          <w:rFonts w:ascii="Arial" w:eastAsia="Verdana" w:hAnsi="Verdana"/>
          <w:sz w:val="24"/>
          <w:szCs w:val="24"/>
        </w:rPr>
        <w:t xml:space="preserve">the findings of the housing and planning working group. </w:t>
      </w:r>
    </w:p>
    <w:p w:rsidR="00AF200D" w:rsidRDefault="00AF200D" w:rsidP="00AF200D">
      <w:pPr>
        <w:ind w:left="720"/>
        <w:jc w:val="both"/>
        <w:rPr>
          <w:rFonts w:ascii="Arial" w:eastAsia="Verdana" w:hAnsi="Verdana"/>
          <w:sz w:val="24"/>
          <w:szCs w:val="24"/>
        </w:rPr>
      </w:pPr>
    </w:p>
    <w:p w:rsidR="0037048E" w:rsidRDefault="00726B76" w:rsidP="00AF200D">
      <w:pPr>
        <w:ind w:firstLine="720"/>
        <w:jc w:val="both"/>
        <w:rPr>
          <w:rFonts w:ascii="Arial" w:eastAsia="Verdana" w:hAnsi="Verdana"/>
          <w:sz w:val="24"/>
          <w:szCs w:val="24"/>
        </w:rPr>
      </w:pPr>
      <w:r>
        <w:rPr>
          <w:rFonts w:ascii="Arial" w:eastAsia="Verdana" w:hAnsi="Verdana"/>
          <w:sz w:val="24"/>
          <w:szCs w:val="24"/>
        </w:rPr>
        <w:t>Method of analysis could comprise the following structure:-</w:t>
      </w:r>
    </w:p>
    <w:p w:rsidR="00AF200D" w:rsidRDefault="00AF200D" w:rsidP="00AF200D">
      <w:pPr>
        <w:ind w:firstLine="720"/>
        <w:jc w:val="both"/>
        <w:rPr>
          <w:rFonts w:ascii="Arial" w:eastAsia="Verdana" w:hAnsi="Verdana"/>
          <w:sz w:val="24"/>
          <w:szCs w:val="24"/>
        </w:rPr>
      </w:pPr>
      <w:r>
        <w:rPr>
          <w:noProof/>
          <w:sz w:val="20"/>
        </w:rPr>
      </w:r>
      <w:r>
        <w:rPr>
          <w:noProof/>
          <w:sz w:val="20"/>
        </w:rPr>
        <w:pict>
          <v:rect id="Rectangle 5" o:spid="_x0000_s1035" style="width:461pt;height:114pt;visibility:visible;mso-wrap-style:square;mso-left-percent:-10001;mso-top-percent:-10001;mso-position-horizontal:absolute;mso-position-horizontal-relative:char;mso-position-vertical:absolute;mso-position-vertical-relative:line;mso-left-percent:-10001;mso-top-percent:-10001;v-text-anchor:top" fillcolor="#d9d9d9" stroked="f">
            <v:textbox inset="7pt,4pt,7pt,4pt">
              <w:txbxContent>
                <w:p w:rsidR="00AF200D" w:rsidRDefault="00AF200D" w:rsidP="00AF200D">
                  <w:pPr>
                    <w:spacing w:after="160" w:line="259" w:lineRule="auto"/>
                    <w:jc w:val="both"/>
                    <w:rPr>
                      <w:rFonts w:ascii="Verdana" w:eastAsia="Verdana" w:hAnsi="Verdana"/>
                      <w:i/>
                      <w:sz w:val="19"/>
                      <w:szCs w:val="19"/>
                    </w:rPr>
                  </w:pPr>
                  <w:r>
                    <w:rPr>
                      <w:rFonts w:ascii="Verdana" w:eastAsia="Verdana" w:hAnsi="Verdana"/>
                      <w:i/>
                      <w:sz w:val="19"/>
                      <w:szCs w:val="19"/>
                    </w:rPr>
                    <w:t xml:space="preserve">Analysis of scheme benchmarks and the suitability of the benchmarks that have been adopted for the purpose of </w:t>
                  </w:r>
                  <w:proofErr w:type="gramStart"/>
                  <w:r>
                    <w:rPr>
                      <w:rFonts w:ascii="Verdana" w:eastAsia="Verdana" w:hAnsi="Verdana"/>
                      <w:i/>
                      <w:sz w:val="19"/>
                      <w:szCs w:val="19"/>
                    </w:rPr>
                    <w:t>identifying  initial</w:t>
                  </w:r>
                  <w:proofErr w:type="gramEnd"/>
                  <w:r>
                    <w:rPr>
                      <w:rFonts w:ascii="Verdana" w:eastAsia="Verdana" w:hAnsi="Verdana"/>
                      <w:i/>
                      <w:sz w:val="19"/>
                      <w:szCs w:val="19"/>
                    </w:rPr>
                    <w:t xml:space="preserve"> delivery timescales. </w:t>
                  </w:r>
                </w:p>
                <w:p w:rsidR="00AF200D" w:rsidRDefault="00AF200D" w:rsidP="00AF200D">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If benchmark has been achieved – fine</w:t>
                  </w:r>
                </w:p>
                <w:p w:rsidR="00AF200D" w:rsidRDefault="00AF200D" w:rsidP="00AF200D">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If benchmark has not been achieved – issue</w:t>
                  </w:r>
                </w:p>
                <w:p w:rsidR="00AF200D" w:rsidRDefault="00AF200D" w:rsidP="00AF200D">
                  <w:pPr>
                    <w:spacing w:after="160" w:line="259" w:lineRule="auto"/>
                    <w:jc w:val="both"/>
                    <w:rPr>
                      <w:rFonts w:ascii="Verdana" w:eastAsia="Verdana" w:hAnsi="Verdana"/>
                      <w:i/>
                      <w:sz w:val="19"/>
                      <w:szCs w:val="19"/>
                    </w:rPr>
                  </w:pPr>
                  <w:r>
                    <w:rPr>
                      <w:rFonts w:ascii="Verdana" w:eastAsia="Verdana" w:hAnsi="Verdana"/>
                      <w:i/>
                      <w:sz w:val="19"/>
                      <w:szCs w:val="19"/>
                    </w:rPr>
                    <w:t>In the event that the benchmark has not been achieved, why was this the case, provide recommendations for potential processes and procedures in the future to overcome any identified issues.</w:t>
                  </w:r>
                </w:p>
                <w:p w:rsidR="00AF200D" w:rsidRDefault="00AF200D" w:rsidP="00AF200D">
                  <w:pPr>
                    <w:spacing w:after="160" w:line="259" w:lineRule="auto"/>
                  </w:pPr>
                </w:p>
              </w:txbxContent>
            </v:textbox>
            <w10:anchorlock/>
          </v:rect>
        </w:pict>
      </w:r>
    </w:p>
    <w:p w:rsidR="0037048E" w:rsidRDefault="0037048E" w:rsidP="00AF200D">
      <w:pPr>
        <w:jc w:val="both"/>
        <w:rPr>
          <w:rFonts w:ascii="Verdana" w:eastAsia="Verdana" w:hAnsi="Verdana"/>
          <w:sz w:val="19"/>
          <w:szCs w:val="19"/>
          <w:u w:val="single"/>
        </w:rPr>
      </w:pPr>
    </w:p>
    <w:p w:rsidR="0037048E" w:rsidRDefault="00726B76" w:rsidP="00AF200D">
      <w:pPr>
        <w:ind w:firstLine="720"/>
        <w:jc w:val="both"/>
        <w:rPr>
          <w:rFonts w:ascii="Arial" w:eastAsia="Arial" w:hAnsi="Arial"/>
          <w:sz w:val="24"/>
          <w:szCs w:val="24"/>
          <w:u w:val="single"/>
        </w:rPr>
      </w:pPr>
      <w:r>
        <w:rPr>
          <w:rFonts w:ascii="Arial" w:eastAsia="Verdana" w:hAnsi="Verdana"/>
          <w:sz w:val="24"/>
          <w:szCs w:val="24"/>
          <w:u w:val="single"/>
        </w:rPr>
        <w:t xml:space="preserve">Part II </w:t>
      </w:r>
      <w:r>
        <w:rPr>
          <w:rFonts w:ascii="Arial" w:eastAsia="Verdana" w:hAnsi="Verdana"/>
          <w:sz w:val="24"/>
          <w:szCs w:val="24"/>
          <w:u w:val="single"/>
        </w:rPr>
        <w:t>–</w:t>
      </w:r>
      <w:r>
        <w:rPr>
          <w:rFonts w:ascii="Arial" w:eastAsia="Verdana" w:hAnsi="Verdana"/>
          <w:sz w:val="24"/>
          <w:szCs w:val="24"/>
          <w:u w:val="single"/>
        </w:rPr>
        <w:t xml:space="preserve"> Value for Money </w:t>
      </w:r>
    </w:p>
    <w:p w:rsidR="003E4D34" w:rsidRDefault="00726B76" w:rsidP="00AF200D">
      <w:pPr>
        <w:ind w:left="720"/>
        <w:jc w:val="both"/>
        <w:rPr>
          <w:rFonts w:ascii="Arial" w:eastAsia="Verdana" w:hAnsi="Verdana"/>
          <w:sz w:val="24"/>
          <w:szCs w:val="24"/>
        </w:rPr>
      </w:pPr>
      <w:r w:rsidRPr="003F326C">
        <w:rPr>
          <w:rFonts w:ascii="Arial" w:eastAsia="Verdana" w:hAnsi="Arial" w:cs="Arial"/>
          <w:sz w:val="24"/>
          <w:szCs w:val="24"/>
        </w:rPr>
        <w:t xml:space="preserve">This element will firstly review the robustness of the highline estimates for the main </w:t>
      </w:r>
      <w:r w:rsidRPr="003F326C">
        <w:rPr>
          <w:rFonts w:ascii="Arial" w:eastAsia="Verdana" w:hAnsi="Arial" w:cs="Arial"/>
          <w:sz w:val="24"/>
          <w:szCs w:val="24"/>
        </w:rPr>
        <w:t>infrastructure schemes which were p</w:t>
      </w:r>
      <w:r w:rsidRPr="003F326C">
        <w:rPr>
          <w:rFonts w:ascii="Arial" w:eastAsia="Verdana" w:hAnsi="Arial" w:cs="Arial"/>
          <w:sz w:val="24"/>
          <w:szCs w:val="24"/>
        </w:rPr>
        <w:t>repared prior to the City Deal submission in 2013. It is only as schemes progress from concept, outline and final design stage that actual costs are established. This piece of work will reference respective guidance documents including the CLG Document “Be</w:t>
      </w:r>
      <w:r w:rsidRPr="003F326C">
        <w:rPr>
          <w:rFonts w:ascii="Arial" w:eastAsia="Verdana" w:hAnsi="Arial" w:cs="Arial"/>
          <w:sz w:val="24"/>
          <w:szCs w:val="24"/>
        </w:rPr>
        <w:t xml:space="preserve">st Value Statutory Guidance” in addition to potentially acknowledging “Partnership for Public Procurement” which has been put together by the </w:t>
      </w:r>
      <w:r w:rsidRPr="005C07FA">
        <w:rPr>
          <w:rFonts w:ascii="Arial" w:eastAsia="Verdana" w:hAnsi="Arial" w:cs="Arial"/>
          <w:sz w:val="24"/>
          <w:szCs w:val="24"/>
        </w:rPr>
        <w:t>Chartered Institute of Procurement &amp; Supply (CIPS) and The Institute for Public Procurement (NIGP). Where work has</w:t>
      </w:r>
      <w:r w:rsidRPr="005C07FA">
        <w:rPr>
          <w:rFonts w:ascii="Arial" w:eastAsia="Verdana" w:hAnsi="Arial" w:cs="Arial"/>
          <w:sz w:val="24"/>
          <w:szCs w:val="24"/>
        </w:rPr>
        <w:t xml:space="preserve"> not been competitively tendered KM will discuss matters with the relevant </w:t>
      </w:r>
      <w:r>
        <w:rPr>
          <w:rFonts w:ascii="Arial" w:eastAsia="Verdana" w:hAnsi="Arial" w:cs="Arial"/>
          <w:sz w:val="24"/>
          <w:szCs w:val="24"/>
        </w:rPr>
        <w:t>C</w:t>
      </w:r>
      <w:r w:rsidRPr="005C07FA">
        <w:rPr>
          <w:rFonts w:ascii="Arial" w:eastAsia="Verdana" w:hAnsi="Arial" w:cs="Arial"/>
          <w:sz w:val="24"/>
          <w:szCs w:val="24"/>
        </w:rPr>
        <w:t xml:space="preserve">ounty Council procurement and highway </w:t>
      </w:r>
      <w:r>
        <w:rPr>
          <w:rFonts w:ascii="Arial" w:eastAsia="Verdana" w:hAnsi="Arial" w:cs="Arial"/>
          <w:sz w:val="24"/>
          <w:szCs w:val="24"/>
        </w:rPr>
        <w:t>o</w:t>
      </w:r>
      <w:r w:rsidRPr="005C07FA">
        <w:rPr>
          <w:rFonts w:ascii="Arial" w:eastAsia="Verdana" w:hAnsi="Arial" w:cs="Arial"/>
          <w:sz w:val="24"/>
          <w:szCs w:val="24"/>
        </w:rPr>
        <w:t>fficers to understand how costs have been benchmarked and value for money obtained. Identification of the potential benefits of not procuring</w:t>
      </w:r>
      <w:r w:rsidRPr="005C07FA">
        <w:rPr>
          <w:rFonts w:ascii="Arial" w:eastAsia="Verdana" w:hAnsi="Arial" w:cs="Arial"/>
          <w:sz w:val="24"/>
          <w:szCs w:val="24"/>
        </w:rPr>
        <w:t xml:space="preserve"> external services will also be considered by KM which may include an ability to expedite delivery or to reduce administrative costs by not externally procuring services.</w:t>
      </w:r>
      <w:r>
        <w:rPr>
          <w:rFonts w:ascii="Arial" w:eastAsia="Verdana" w:hAnsi="Verdana"/>
          <w:sz w:val="24"/>
          <w:szCs w:val="24"/>
        </w:rPr>
        <w:br w:type="page"/>
      </w:r>
    </w:p>
    <w:p w:rsidR="0037048E" w:rsidRDefault="00726B76" w:rsidP="00AF200D">
      <w:pPr>
        <w:ind w:firstLine="720"/>
        <w:jc w:val="both"/>
        <w:rPr>
          <w:rFonts w:ascii="Verdana" w:eastAsia="Verdana" w:hAnsi="Verdana"/>
          <w:sz w:val="19"/>
          <w:szCs w:val="19"/>
        </w:rPr>
      </w:pPr>
      <w:r>
        <w:rPr>
          <w:rFonts w:ascii="Arial" w:eastAsia="Verdana" w:hAnsi="Verdana"/>
          <w:sz w:val="24"/>
          <w:szCs w:val="24"/>
        </w:rPr>
        <w:lastRenderedPageBreak/>
        <w:t>Method of analysis could comprise the following structure</w:t>
      </w:r>
      <w:r>
        <w:rPr>
          <w:rFonts w:ascii="Verdana" w:eastAsia="Verdana" w:hAnsi="Verdana"/>
          <w:sz w:val="19"/>
          <w:szCs w:val="19"/>
        </w:rPr>
        <w:t>:-</w:t>
      </w:r>
    </w:p>
    <w:p w:rsidR="0037048E" w:rsidRDefault="00AF200D" w:rsidP="00AF200D">
      <w:pPr>
        <w:jc w:val="both"/>
        <w:rPr>
          <w:rFonts w:ascii="Verdana" w:eastAsia="Verdana" w:hAnsi="Verdana"/>
          <w:sz w:val="19"/>
          <w:szCs w:val="19"/>
        </w:rPr>
      </w:pPr>
      <w:r>
        <w:rPr>
          <w:noProof/>
          <w:sz w:val="20"/>
        </w:rPr>
        <w:pict w14:anchorId="6EEA1C5F">
          <v:rect id="Rectangle 4" o:spid="_x0000_s1029" style="position:absolute;left:0;text-align:left;margin-left:36pt;margin-top:2.7pt;width:461pt;height:118.5pt;z-index:2516249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" fillcolor="#d8d8d8" stroked="f">
            <v:textbox inset="7pt,4pt,7pt,4pt">
              <w:txbxContent>
                <w:p w:rsidR="0021326A" w:rsidRDefault="00726B76">
                  <w:pPr>
                    <w:spacing w:after="160" w:line="259" w:lineRule="auto"/>
                    <w:jc w:val="both"/>
                    <w:rPr>
                      <w:rFonts w:ascii="Verdana" w:eastAsia="Verdana" w:hAnsi="Verdana"/>
                      <w:i/>
                      <w:sz w:val="19"/>
                      <w:szCs w:val="19"/>
                    </w:rPr>
                  </w:pPr>
                  <w:r>
                    <w:rPr>
                      <w:rFonts w:ascii="Verdana" w:eastAsia="Verdana" w:hAnsi="Verdana"/>
                      <w:i/>
                      <w:sz w:val="19"/>
                      <w:szCs w:val="19"/>
                    </w:rPr>
                    <w:t>Analysis of scheme benchmarks and the suitability of the benchmarks that have bee</w:t>
                  </w:r>
                  <w:r>
                    <w:rPr>
                      <w:rFonts w:ascii="Verdana" w:eastAsia="Verdana" w:hAnsi="Verdana"/>
                      <w:i/>
                      <w:sz w:val="19"/>
                      <w:szCs w:val="19"/>
                    </w:rPr>
                    <w:t>n adopted for the purpose of identifying an initial cost. [</w:t>
                  </w:r>
                </w:p>
                <w:p w:rsidR="0021326A" w:rsidRDefault="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If benchmark has been achieved – fine</w:t>
                  </w:r>
                </w:p>
                <w:p w:rsidR="0021326A" w:rsidRDefault="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If benchmark has not been achieved – issue</w:t>
                  </w:r>
                </w:p>
                <w:p w:rsidR="0021326A" w:rsidRDefault="00726B76" w:rsidP="00987798">
                  <w:pPr>
                    <w:spacing w:after="160" w:line="259" w:lineRule="auto"/>
                    <w:jc w:val="both"/>
                  </w:pPr>
                  <w:r>
                    <w:rPr>
                      <w:rFonts w:ascii="Verdana" w:eastAsia="Verdana" w:hAnsi="Verdana"/>
                      <w:i/>
                      <w:sz w:val="19"/>
                      <w:szCs w:val="19"/>
                    </w:rPr>
                    <w:t xml:space="preserve">In the event that the benchmark has not been achieved why was this the case, provide recommendations for potential </w:t>
                  </w:r>
                  <w:r>
                    <w:rPr>
                      <w:rFonts w:ascii="Verdana" w:eastAsia="Verdana" w:hAnsi="Verdana"/>
                      <w:i/>
                      <w:sz w:val="19"/>
                      <w:szCs w:val="19"/>
                    </w:rPr>
                    <w:t>processes and procedures in the future to overcome any identified issues.</w:t>
                  </w:r>
                </w:p>
              </w:txbxContent>
            </v:textbox>
          </v:rect>
        </w:pict>
      </w:r>
    </w:p>
    <w:p w:rsidR="0037048E" w:rsidRDefault="0037048E" w:rsidP="00AF200D">
      <w:pPr>
        <w:jc w:val="both"/>
        <w:rPr>
          <w:rFonts w:ascii="Verdana" w:eastAsia="Verdana" w:hAnsi="Verdana"/>
          <w:sz w:val="19"/>
          <w:szCs w:val="19"/>
        </w:rPr>
      </w:pPr>
    </w:p>
    <w:p w:rsidR="0037048E" w:rsidRDefault="0037048E" w:rsidP="00AF200D">
      <w:pPr>
        <w:jc w:val="both"/>
        <w:rPr>
          <w:rFonts w:ascii="Verdana" w:eastAsia="Verdana" w:hAnsi="Verdana"/>
          <w:sz w:val="19"/>
          <w:szCs w:val="19"/>
        </w:rPr>
      </w:pPr>
    </w:p>
    <w:p w:rsidR="0037048E" w:rsidRDefault="0037048E" w:rsidP="00AF200D">
      <w:pPr>
        <w:jc w:val="both"/>
        <w:rPr>
          <w:rFonts w:ascii="Verdana" w:eastAsia="Verdana" w:hAnsi="Verdana"/>
          <w:i/>
          <w:sz w:val="19"/>
          <w:szCs w:val="19"/>
        </w:rPr>
      </w:pPr>
    </w:p>
    <w:p w:rsidR="0037048E" w:rsidRDefault="0037048E" w:rsidP="00AF200D">
      <w:pPr>
        <w:jc w:val="both"/>
        <w:rPr>
          <w:rFonts w:ascii="Verdana" w:eastAsia="Verdana" w:hAnsi="Verdana"/>
          <w:i/>
          <w:sz w:val="19"/>
          <w:szCs w:val="19"/>
        </w:rPr>
      </w:pPr>
    </w:p>
    <w:p w:rsidR="0037048E" w:rsidRDefault="0037048E" w:rsidP="00AF200D">
      <w:pPr>
        <w:jc w:val="both"/>
        <w:rPr>
          <w:rFonts w:ascii="Verdana" w:eastAsia="Verdana" w:hAnsi="Verdana"/>
          <w:i/>
          <w:sz w:val="19"/>
          <w:szCs w:val="19"/>
        </w:rPr>
      </w:pPr>
    </w:p>
    <w:p w:rsidR="0037048E" w:rsidRDefault="0037048E" w:rsidP="00AF200D">
      <w:pPr>
        <w:jc w:val="both"/>
        <w:rPr>
          <w:rFonts w:ascii="Verdana" w:eastAsia="Verdana" w:hAnsi="Verdana"/>
          <w:i/>
          <w:sz w:val="19"/>
          <w:szCs w:val="19"/>
        </w:rPr>
      </w:pPr>
    </w:p>
    <w:p w:rsidR="00AF200D" w:rsidRDefault="00AF200D" w:rsidP="00AF200D">
      <w:pPr>
        <w:jc w:val="both"/>
        <w:rPr>
          <w:rFonts w:ascii="Arial" w:eastAsia="Verdana" w:hAnsi="Verdana"/>
          <w:sz w:val="24"/>
          <w:szCs w:val="24"/>
          <w:u w:val="single"/>
        </w:rPr>
      </w:pPr>
    </w:p>
    <w:p w:rsidR="00AF200D" w:rsidRDefault="00AF200D" w:rsidP="00AF200D">
      <w:pPr>
        <w:jc w:val="both"/>
        <w:rPr>
          <w:rFonts w:ascii="Arial" w:eastAsia="Verdana" w:hAnsi="Verdana"/>
          <w:sz w:val="24"/>
          <w:szCs w:val="24"/>
          <w:u w:val="single"/>
        </w:rPr>
      </w:pPr>
    </w:p>
    <w:p w:rsidR="00AF200D" w:rsidRDefault="00AF200D" w:rsidP="00AF200D">
      <w:pPr>
        <w:jc w:val="both"/>
        <w:rPr>
          <w:rFonts w:ascii="Arial" w:eastAsia="Verdana" w:hAnsi="Verdana"/>
          <w:sz w:val="24"/>
          <w:szCs w:val="24"/>
          <w:u w:val="single"/>
        </w:rPr>
      </w:pPr>
    </w:p>
    <w:p w:rsidR="00AF200D" w:rsidRDefault="00AF200D" w:rsidP="00AF200D">
      <w:pPr>
        <w:jc w:val="both"/>
        <w:rPr>
          <w:rFonts w:ascii="Arial" w:eastAsia="Verdana" w:hAnsi="Verdana"/>
          <w:sz w:val="24"/>
          <w:szCs w:val="24"/>
          <w:u w:val="single"/>
        </w:rPr>
      </w:pPr>
    </w:p>
    <w:p w:rsidR="0037048E" w:rsidRDefault="00726B76" w:rsidP="00AF200D">
      <w:pPr>
        <w:ind w:firstLine="720"/>
        <w:jc w:val="both"/>
        <w:rPr>
          <w:rFonts w:ascii="Arial" w:eastAsia="Arial" w:hAnsi="Arial"/>
          <w:sz w:val="24"/>
          <w:szCs w:val="24"/>
          <w:u w:val="single"/>
        </w:rPr>
      </w:pPr>
      <w:r>
        <w:rPr>
          <w:rFonts w:ascii="Arial" w:eastAsia="Verdana" w:hAnsi="Verdana"/>
          <w:sz w:val="24"/>
          <w:szCs w:val="24"/>
          <w:u w:val="single"/>
        </w:rPr>
        <w:t xml:space="preserve">Part III </w:t>
      </w:r>
      <w:r>
        <w:rPr>
          <w:rFonts w:ascii="Arial" w:eastAsia="Verdana" w:hAnsi="Verdana"/>
          <w:sz w:val="24"/>
          <w:szCs w:val="24"/>
          <w:u w:val="single"/>
        </w:rPr>
        <w:t>–</w:t>
      </w:r>
      <w:r>
        <w:rPr>
          <w:rFonts w:ascii="Arial" w:eastAsia="Verdana" w:hAnsi="Verdana"/>
          <w:sz w:val="24"/>
          <w:szCs w:val="24"/>
          <w:u w:val="single"/>
        </w:rPr>
        <w:t xml:space="preserve"> Social Value</w:t>
      </w:r>
    </w:p>
    <w:p w:rsidR="0037048E" w:rsidRDefault="00726B76" w:rsidP="00AF200D">
      <w:pPr>
        <w:ind w:firstLine="720"/>
        <w:jc w:val="both"/>
        <w:rPr>
          <w:rFonts w:ascii="Arial" w:eastAsia="Verdana" w:hAnsi="Verdana"/>
          <w:sz w:val="24"/>
          <w:szCs w:val="24"/>
        </w:rPr>
      </w:pPr>
      <w:r>
        <w:rPr>
          <w:rFonts w:ascii="Arial" w:eastAsia="Verdana" w:hAnsi="Verdana"/>
          <w:sz w:val="24"/>
          <w:szCs w:val="24"/>
        </w:rPr>
        <w:t>Social Value is defined as:-</w:t>
      </w:r>
    </w:p>
    <w:p w:rsidR="0037048E" w:rsidRDefault="00726B76" w:rsidP="00AF200D">
      <w:pPr>
        <w:ind w:left="720"/>
        <w:jc w:val="both"/>
        <w:rPr>
          <w:rFonts w:ascii="Arial" w:eastAsia="Verdana" w:hAnsi="Verdana"/>
          <w:i/>
          <w:sz w:val="24"/>
          <w:szCs w:val="24"/>
        </w:rPr>
      </w:pPr>
      <w:r>
        <w:rPr>
          <w:rFonts w:ascii="Arial" w:eastAsia="Verdana" w:hAnsi="Verdana"/>
          <w:i/>
          <w:sz w:val="24"/>
          <w:szCs w:val="24"/>
        </w:rPr>
        <w:t>“</w:t>
      </w:r>
      <w:r>
        <w:rPr>
          <w:rFonts w:ascii="Arial" w:eastAsia="Verdana" w:hAnsi="Verdana"/>
          <w:i/>
          <w:sz w:val="24"/>
          <w:szCs w:val="24"/>
        </w:rPr>
        <w:t xml:space="preserve">A way of thinking about how scarce resources are allocated </w:t>
      </w:r>
      <w:r>
        <w:rPr>
          <w:rFonts w:ascii="Arial" w:eastAsia="Verdana" w:hAnsi="Verdana"/>
          <w:i/>
          <w:sz w:val="24"/>
          <w:szCs w:val="24"/>
        </w:rPr>
        <w:t xml:space="preserve">and used. It involves looking </w:t>
      </w:r>
      <w:r>
        <w:rPr>
          <w:rFonts w:ascii="Arial" w:eastAsia="Verdana" w:hAnsi="Verdana"/>
          <w:i/>
          <w:sz w:val="24"/>
          <w:szCs w:val="24"/>
        </w:rPr>
        <w:t>beyond the price of each individual contract and looking at what the collective benefit to a community is when a public body chooses to award a contract</w:t>
      </w:r>
      <w:r>
        <w:rPr>
          <w:rFonts w:ascii="Arial" w:eastAsia="Verdana" w:hAnsi="Verdana"/>
          <w:i/>
          <w:sz w:val="24"/>
          <w:szCs w:val="24"/>
        </w:rPr>
        <w:t>”</w:t>
      </w:r>
    </w:p>
    <w:p w:rsidR="008C4845" w:rsidRDefault="00726B76" w:rsidP="00AF200D">
      <w:pPr>
        <w:ind w:left="720"/>
        <w:jc w:val="both"/>
        <w:rPr>
          <w:rFonts w:ascii="Arial" w:eastAsia="Malgun Gothic" w:hAnsi="Arial" w:cs="Arial"/>
          <w:sz w:val="24"/>
          <w:szCs w:val="24"/>
        </w:rPr>
      </w:pPr>
      <w:r w:rsidRPr="00987798">
        <w:rPr>
          <w:rFonts w:ascii="Arial" w:eastAsia="Verdana" w:hAnsi="Arial" w:cs="Arial"/>
          <w:sz w:val="24"/>
          <w:szCs w:val="24"/>
        </w:rPr>
        <w:t xml:space="preserve">As part of this instruction </w:t>
      </w:r>
      <w:r w:rsidRPr="00987798">
        <w:rPr>
          <w:rFonts w:ascii="Arial" w:eastAsia="Malgun Gothic" w:hAnsi="Arial" w:cs="Arial"/>
          <w:sz w:val="24"/>
          <w:szCs w:val="24"/>
        </w:rPr>
        <w:t>KM will</w:t>
      </w:r>
      <w:r w:rsidRPr="00987798">
        <w:rPr>
          <w:rFonts w:ascii="Arial" w:eastAsia="Verdana" w:hAnsi="Arial" w:cs="Arial"/>
          <w:sz w:val="24"/>
          <w:szCs w:val="24"/>
        </w:rPr>
        <w:t xml:space="preserve"> liaise with Dr Michele </w:t>
      </w:r>
      <w:proofErr w:type="spellStart"/>
      <w:r w:rsidRPr="00987798">
        <w:rPr>
          <w:rFonts w:ascii="Arial" w:eastAsia="Verdana" w:hAnsi="Arial" w:cs="Arial"/>
          <w:sz w:val="24"/>
          <w:szCs w:val="24"/>
        </w:rPr>
        <w:t>Lawty</w:t>
      </w:r>
      <w:proofErr w:type="spellEnd"/>
      <w:r w:rsidRPr="00987798">
        <w:rPr>
          <w:rFonts w:ascii="Arial" w:eastAsia="Verdana" w:hAnsi="Arial" w:cs="Arial"/>
          <w:sz w:val="24"/>
          <w:szCs w:val="24"/>
        </w:rPr>
        <w:t xml:space="preserve"> Jones w</w:t>
      </w:r>
      <w:r w:rsidRPr="00987798">
        <w:rPr>
          <w:rFonts w:ascii="Arial" w:eastAsia="Verdana" w:hAnsi="Arial" w:cs="Arial"/>
          <w:sz w:val="24"/>
          <w:szCs w:val="24"/>
        </w:rPr>
        <w:t>ho is the</w:t>
      </w:r>
      <w:r w:rsidRPr="00987798">
        <w:rPr>
          <w:rFonts w:ascii="Arial" w:eastAsia="Malgun Gothic" w:hAnsi="Arial" w:cs="Arial"/>
          <w:sz w:val="24"/>
          <w:szCs w:val="24"/>
        </w:rPr>
        <w:t xml:space="preserve"> Lancashire </w:t>
      </w:r>
      <w:r w:rsidRPr="00987798">
        <w:rPr>
          <w:rFonts w:ascii="Arial" w:eastAsia="Malgun Gothic" w:hAnsi="Arial" w:cs="Arial"/>
          <w:sz w:val="24"/>
          <w:szCs w:val="24"/>
        </w:rPr>
        <w:t>Skills Hub Director, and has worked on the LEP</w:t>
      </w:r>
      <w:r>
        <w:rPr>
          <w:rFonts w:ascii="Arial" w:eastAsia="Malgun Gothic" w:hAnsi="Arial" w:cs="Arial"/>
          <w:sz w:val="24"/>
          <w:szCs w:val="24"/>
        </w:rPr>
        <w:t xml:space="preserve">”s Growth Deal Social Value Toolkit. </w:t>
      </w:r>
    </w:p>
    <w:p w:rsidR="00275468" w:rsidRDefault="00726B76" w:rsidP="00AF200D">
      <w:pPr>
        <w:ind w:left="720"/>
        <w:jc w:val="both"/>
        <w:rPr>
          <w:rFonts w:ascii="Arial" w:eastAsia="Verdana" w:hAnsi="Verdana"/>
          <w:sz w:val="24"/>
          <w:szCs w:val="24"/>
        </w:rPr>
      </w:pPr>
      <w:r w:rsidRPr="008C4845">
        <w:rPr>
          <w:rFonts w:ascii="Arial" w:eastAsia="Malgun Gothic" w:hAnsi="Arial" w:cs="Arial"/>
          <w:sz w:val="24"/>
          <w:szCs w:val="24"/>
        </w:rPr>
        <w:t>KM will look at the County Counc</w:t>
      </w:r>
      <w:r w:rsidRPr="008C4845">
        <w:rPr>
          <w:rFonts w:ascii="Arial" w:eastAsia="Malgun Gothic" w:hAnsi="Arial" w:cs="Arial"/>
          <w:sz w:val="24"/>
          <w:szCs w:val="24"/>
        </w:rPr>
        <w:t>il</w:t>
      </w:r>
      <w:r>
        <w:rPr>
          <w:rFonts w:ascii="Arial" w:eastAsia="Malgun Gothic" w:hAnsi="Arial" w:cs="Arial"/>
          <w:sz w:val="24"/>
          <w:szCs w:val="24"/>
        </w:rPr>
        <w:t>’</w:t>
      </w:r>
      <w:r w:rsidRPr="008C4845">
        <w:rPr>
          <w:rFonts w:ascii="Arial" w:eastAsia="Malgun Gothic" w:hAnsi="Arial" w:cs="Arial"/>
          <w:sz w:val="24"/>
          <w:szCs w:val="24"/>
        </w:rPr>
        <w:t xml:space="preserve">s </w:t>
      </w:r>
      <w:r w:rsidRPr="008C4845">
        <w:rPr>
          <w:rFonts w:ascii="Arial" w:eastAsia="Verdana" w:hAnsi="Arial" w:cs="Arial"/>
          <w:sz w:val="24"/>
          <w:szCs w:val="24"/>
        </w:rPr>
        <w:t>Social Value Policy</w:t>
      </w:r>
      <w:r w:rsidRPr="008C4845">
        <w:rPr>
          <w:rFonts w:ascii="Arial" w:eastAsia="Verdana" w:hAnsi="Arial" w:cs="Arial"/>
          <w:sz w:val="24"/>
          <w:szCs w:val="24"/>
        </w:rPr>
        <w:t xml:space="preserve"> (which the County Council will </w:t>
      </w:r>
      <w:r w:rsidRPr="008C4845">
        <w:rPr>
          <w:rFonts w:ascii="Arial" w:eastAsia="Verdana" w:hAnsi="Arial" w:cs="Arial"/>
          <w:sz w:val="24"/>
          <w:szCs w:val="24"/>
        </w:rPr>
        <w:t>have regard</w:t>
      </w:r>
      <w:r w:rsidRPr="00987798">
        <w:rPr>
          <w:rFonts w:ascii="Arial" w:eastAsia="Verdana" w:hAnsi="Arial" w:cs="Arial"/>
          <w:sz w:val="24"/>
          <w:szCs w:val="24"/>
        </w:rPr>
        <w:t xml:space="preserve"> to when</w:t>
      </w:r>
      <w:r w:rsidRPr="00987798">
        <w:rPr>
          <w:rFonts w:ascii="Arial" w:eastAsia="Malgun Gothic" w:hAnsi="Arial" w:cs="Arial"/>
          <w:sz w:val="24"/>
          <w:szCs w:val="24"/>
        </w:rPr>
        <w:t xml:space="preserve"> making procurement decisions) and </w:t>
      </w:r>
      <w:r w:rsidRPr="00987798">
        <w:rPr>
          <w:rFonts w:ascii="Arial" w:eastAsia="Verdana" w:hAnsi="Arial" w:cs="Arial"/>
          <w:sz w:val="24"/>
          <w:szCs w:val="24"/>
        </w:rPr>
        <w:t xml:space="preserve">assess </w:t>
      </w:r>
      <w:r w:rsidRPr="00987798">
        <w:rPr>
          <w:rFonts w:ascii="Arial" w:eastAsia="Verdana" w:hAnsi="Arial" w:cs="Arial"/>
          <w:sz w:val="24"/>
          <w:szCs w:val="24"/>
        </w:rPr>
        <w:t>whether the procurement decisions have full regard to this.</w:t>
      </w:r>
      <w:r>
        <w:rPr>
          <w:rFonts w:ascii="Arial" w:eastAsia="Verdana" w:hAnsi="Verdana"/>
          <w:sz w:val="24"/>
          <w:szCs w:val="24"/>
        </w:rPr>
        <w:t xml:space="preserve"> </w:t>
      </w:r>
    </w:p>
    <w:p w:rsidR="00AF200D" w:rsidRPr="00987798" w:rsidRDefault="00AF200D" w:rsidP="00AF200D">
      <w:pPr>
        <w:ind w:left="720"/>
        <w:jc w:val="both"/>
        <w:rPr>
          <w:rFonts w:ascii="Arial" w:eastAsia="Verdana" w:hAnsi="Arial" w:cs="Arial"/>
          <w:sz w:val="24"/>
          <w:szCs w:val="24"/>
        </w:rPr>
      </w:pPr>
    </w:p>
    <w:p w:rsidR="0037048E" w:rsidRDefault="00726B76" w:rsidP="00AF200D">
      <w:pPr>
        <w:ind w:firstLine="720"/>
        <w:jc w:val="both"/>
        <w:rPr>
          <w:rFonts w:ascii="Verdana" w:eastAsia="Verdana" w:hAnsi="Verdana"/>
          <w:sz w:val="19"/>
          <w:szCs w:val="19"/>
        </w:rPr>
      </w:pPr>
      <w:r>
        <w:rPr>
          <w:rFonts w:ascii="Arial" w:eastAsia="Verdana" w:hAnsi="Verdana"/>
          <w:sz w:val="24"/>
          <w:szCs w:val="24"/>
        </w:rPr>
        <w:t>Method of analysis could comprise the following structure</w:t>
      </w:r>
      <w:r>
        <w:rPr>
          <w:rFonts w:ascii="Verdana" w:eastAsia="Verdana" w:hAnsi="Verdana"/>
          <w:sz w:val="19"/>
          <w:szCs w:val="19"/>
        </w:rPr>
        <w:t>:-</w:t>
      </w:r>
    </w:p>
    <w:p w:rsidR="00726B76" w:rsidRDefault="00726B76" w:rsidP="00AF200D">
      <w:pPr>
        <w:ind w:firstLine="720"/>
        <w:jc w:val="both"/>
        <w:rPr>
          <w:rFonts w:ascii="Verdana" w:eastAsia="Verdana" w:hAnsi="Verdana"/>
          <w:sz w:val="19"/>
          <w:szCs w:val="19"/>
        </w:rPr>
      </w:pPr>
      <w:r>
        <w:rPr>
          <w:noProof/>
          <w:sz w:val="20"/>
        </w:rPr>
      </w:r>
      <w:r>
        <w:rPr>
          <w:noProof/>
          <w:sz w:val="20"/>
        </w:rPr>
        <w:pict>
          <v:rect id="Rectangle 2" o:spid="_x0000_s1038" style="width:484.5pt;height:204.9pt;visibility:visible;mso-left-percent:-10001;mso-top-percent:-10001;mso-position-horizontal:absolute;mso-position-horizontal-relative:char;mso-position-vertical:absolute;mso-position-vertical-relative:line;mso-left-percent:-10001;mso-top-percent:-10001;v-text-anchor:top" fillcolor="#d9d9d9" stroked="f">
            <v:textbox style="mso-next-textbox:#Rectangle 2" inset="7pt,4pt,7pt,4pt">
              <w:txbxContent>
                <w:p w:rsidR="00726B76" w:rsidRDefault="00726B76" w:rsidP="00726B76">
                  <w:pPr>
                    <w:spacing w:after="160" w:line="259" w:lineRule="auto"/>
                    <w:jc w:val="both"/>
                    <w:rPr>
                      <w:rFonts w:ascii="Verdana" w:eastAsia="Verdana" w:hAnsi="Verdana"/>
                      <w:i/>
                      <w:sz w:val="19"/>
                      <w:szCs w:val="19"/>
                    </w:rPr>
                  </w:pPr>
                  <w:r>
                    <w:rPr>
                      <w:rFonts w:ascii="Verdana" w:eastAsia="Verdana" w:hAnsi="Verdana"/>
                      <w:i/>
                      <w:sz w:val="19"/>
                      <w:szCs w:val="19"/>
                    </w:rPr>
                    <w:t>Is there a Social Value Policy in place within the existing procurement procedures that Officers have regarded to when making decisions as to who to award contracts do?</w:t>
                  </w:r>
                </w:p>
                <w:p w:rsidR="00726B76" w:rsidRDefault="00726B76" w:rsidP="00726B76">
                  <w:pPr>
                    <w:spacing w:after="160" w:line="259" w:lineRule="auto"/>
                    <w:jc w:val="both"/>
                    <w:rPr>
                      <w:rFonts w:ascii="Verdana" w:eastAsia="Verdana" w:hAnsi="Verdana"/>
                      <w:i/>
                      <w:sz w:val="19"/>
                      <w:szCs w:val="19"/>
                    </w:rPr>
                  </w:pPr>
                  <w:r>
                    <w:rPr>
                      <w:rFonts w:ascii="Verdana" w:eastAsia="Verdana" w:hAnsi="Verdana"/>
                      <w:i/>
                      <w:sz w:val="19"/>
                      <w:szCs w:val="19"/>
                    </w:rPr>
                    <w:t>If yes, comment on:-</w:t>
                  </w:r>
                </w:p>
                <w:p w:rsidR="00726B76" w:rsidRDefault="00726B76" w:rsidP="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Has this been implemented?</w:t>
                  </w:r>
                </w:p>
                <w:p w:rsidR="00726B76" w:rsidRDefault="00726B76" w:rsidP="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Has Social Value principle been achieved?</w:t>
                  </w:r>
                </w:p>
                <w:p w:rsidR="00726B76" w:rsidRDefault="00726B76" w:rsidP="00726B76">
                  <w:pPr>
                    <w:spacing w:after="160" w:line="259" w:lineRule="auto"/>
                    <w:jc w:val="both"/>
                    <w:rPr>
                      <w:rFonts w:ascii="Verdana" w:eastAsia="Verdana" w:hAnsi="Verdana"/>
                      <w:i/>
                      <w:sz w:val="19"/>
                      <w:szCs w:val="19"/>
                    </w:rPr>
                  </w:pPr>
                  <w:r>
                    <w:rPr>
                      <w:rFonts w:ascii="Verdana" w:eastAsia="Verdana" w:hAnsi="Verdana"/>
                      <w:i/>
                      <w:sz w:val="19"/>
                      <w:szCs w:val="19"/>
                    </w:rPr>
                    <w:t>If no, comment on:-</w:t>
                  </w:r>
                </w:p>
                <w:p w:rsidR="00726B76" w:rsidRDefault="00726B76" w:rsidP="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Should a Social Value Policy be in place, and enshrined within all procurement decisions?</w:t>
                  </w:r>
                </w:p>
                <w:p w:rsidR="00726B76" w:rsidRDefault="00726B76" w:rsidP="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Identification of potential processes and procedures to ensure that the Social Value objective is achieved, and ensuring that a framework or criteria in place is fit for purpose to ensure that procurement decisions have full regard to this.</w:t>
                  </w:r>
                </w:p>
                <w:p w:rsidR="00726B76" w:rsidRPr="00726B76" w:rsidRDefault="00726B76" w:rsidP="00726B76">
                  <w:pPr>
                    <w:pStyle w:val="ListParagraph"/>
                    <w:numPr>
                      <w:ilvl w:val="0"/>
                      <w:numId w:val="6"/>
                    </w:numPr>
                    <w:spacing w:after="200" w:line="276" w:lineRule="auto"/>
                    <w:contextualSpacing/>
                    <w:jc w:val="both"/>
                    <w:rPr>
                      <w:rFonts w:ascii="Verdana" w:eastAsia="Verdana" w:hAnsi="Verdana"/>
                      <w:i/>
                      <w:sz w:val="19"/>
                      <w:szCs w:val="19"/>
                    </w:rPr>
                  </w:pPr>
                  <w:r>
                    <w:rPr>
                      <w:rFonts w:ascii="Verdana" w:eastAsia="Verdana" w:hAnsi="Verdana"/>
                      <w:i/>
                      <w:sz w:val="19"/>
                      <w:szCs w:val="19"/>
                    </w:rPr>
                    <w:t>How this has been achieved elsewhere. Local Authority examples?</w:t>
                  </w:r>
                </w:p>
              </w:txbxContent>
            </v:textbox>
            <w10:anchorlock/>
          </v:rect>
        </w:pict>
      </w:r>
    </w:p>
    <w:p w:rsidR="00726B76" w:rsidRDefault="00726B76" w:rsidP="00AF200D">
      <w:pPr>
        <w:jc w:val="both"/>
        <w:rPr>
          <w:rFonts w:ascii="Verdana" w:eastAsia="Verdana" w:hAnsi="Verdana"/>
          <w:i/>
          <w:sz w:val="19"/>
          <w:szCs w:val="19"/>
        </w:rPr>
      </w:pPr>
    </w:p>
    <w:p w:rsidR="00726B76" w:rsidRDefault="00726B76" w:rsidP="00AF200D">
      <w:pPr>
        <w:jc w:val="both"/>
        <w:rPr>
          <w:rFonts w:ascii="Verdana" w:eastAsia="Verdana" w:hAnsi="Verdana"/>
          <w:i/>
          <w:sz w:val="19"/>
          <w:szCs w:val="19"/>
        </w:rPr>
      </w:pPr>
    </w:p>
    <w:p w:rsidR="0037048E" w:rsidRDefault="00726B76" w:rsidP="00726B76">
      <w:pPr>
        <w:ind w:left="720"/>
        <w:jc w:val="both"/>
        <w:rPr>
          <w:rFonts w:ascii="Arial" w:eastAsia="Verdana" w:hAnsi="Verdana"/>
          <w:sz w:val="24"/>
          <w:szCs w:val="24"/>
          <w:u w:val="single"/>
        </w:rPr>
      </w:pPr>
      <w:r>
        <w:rPr>
          <w:rFonts w:ascii="Arial" w:eastAsia="Malgun Gothic" w:hAnsi="Malgun Gothic"/>
          <w:sz w:val="24"/>
          <w:szCs w:val="24"/>
        </w:rPr>
        <w:t xml:space="preserve">It is proposed that the conclusions and outputs for the three work areas take the following </w:t>
      </w:r>
      <w:r>
        <w:rPr>
          <w:rFonts w:ascii="Arial" w:eastAsia="Malgun Gothic" w:hAnsi="Malgun Gothic"/>
          <w:sz w:val="24"/>
          <w:szCs w:val="24"/>
        </w:rPr>
        <w:t>format.</w:t>
      </w:r>
    </w:p>
    <w:p w:rsidR="0037048E" w:rsidRDefault="00726B76" w:rsidP="00AF200D">
      <w:pPr>
        <w:pStyle w:val="ListParagraph"/>
        <w:numPr>
          <w:ilvl w:val="0"/>
          <w:numId w:val="5"/>
        </w:numPr>
        <w:contextualSpacing/>
        <w:jc w:val="both"/>
        <w:rPr>
          <w:rFonts w:ascii="Arial" w:eastAsia="Verdana" w:hAnsi="Verdana"/>
          <w:sz w:val="24"/>
          <w:szCs w:val="24"/>
        </w:rPr>
      </w:pPr>
      <w:r>
        <w:rPr>
          <w:rFonts w:ascii="Arial" w:eastAsia="Verdana" w:hAnsi="Verdana"/>
          <w:sz w:val="24"/>
          <w:szCs w:val="24"/>
        </w:rPr>
        <w:t>Identification of Audit Procedures and Methodology Employed</w:t>
      </w:r>
    </w:p>
    <w:p w:rsidR="0037048E" w:rsidRDefault="00726B76" w:rsidP="00AF200D">
      <w:pPr>
        <w:pStyle w:val="ListParagraph"/>
        <w:numPr>
          <w:ilvl w:val="0"/>
          <w:numId w:val="5"/>
        </w:numPr>
        <w:contextualSpacing/>
        <w:jc w:val="both"/>
        <w:rPr>
          <w:rFonts w:ascii="Arial" w:eastAsia="Verdana" w:hAnsi="Verdana"/>
          <w:sz w:val="24"/>
          <w:szCs w:val="24"/>
        </w:rPr>
      </w:pPr>
      <w:r>
        <w:rPr>
          <w:rFonts w:ascii="Arial" w:eastAsia="Verdana" w:hAnsi="Verdana"/>
          <w:sz w:val="24"/>
          <w:szCs w:val="24"/>
        </w:rPr>
        <w:t>Outcomes of Analysis</w:t>
      </w:r>
    </w:p>
    <w:p w:rsidR="0037048E" w:rsidRDefault="00726B76" w:rsidP="00AF200D">
      <w:pPr>
        <w:pStyle w:val="ListParagraph"/>
        <w:numPr>
          <w:ilvl w:val="0"/>
          <w:numId w:val="5"/>
        </w:numPr>
        <w:contextualSpacing/>
        <w:jc w:val="both"/>
        <w:rPr>
          <w:rFonts w:ascii="Arial" w:eastAsia="Verdana" w:hAnsi="Verdana"/>
          <w:sz w:val="24"/>
          <w:szCs w:val="24"/>
        </w:rPr>
      </w:pPr>
      <w:r>
        <w:rPr>
          <w:rFonts w:ascii="Arial" w:eastAsia="Verdana" w:hAnsi="Verdana"/>
          <w:sz w:val="24"/>
          <w:szCs w:val="24"/>
        </w:rPr>
        <w:t>Identifications of any Shortcomings</w:t>
      </w:r>
    </w:p>
    <w:p w:rsidR="0037048E" w:rsidRPr="00987798" w:rsidRDefault="00726B76" w:rsidP="00AF200D">
      <w:pPr>
        <w:pStyle w:val="ListParagraph"/>
        <w:numPr>
          <w:ilvl w:val="0"/>
          <w:numId w:val="5"/>
        </w:numPr>
        <w:contextualSpacing/>
        <w:jc w:val="both"/>
        <w:rPr>
          <w:rFonts w:ascii="Arial" w:eastAsia="Verdana" w:hAnsi="Verdana"/>
          <w:sz w:val="24"/>
          <w:szCs w:val="24"/>
        </w:rPr>
      </w:pPr>
      <w:r>
        <w:rPr>
          <w:rFonts w:ascii="Arial" w:eastAsia="Verdana" w:hAnsi="Verdana"/>
          <w:sz w:val="24"/>
          <w:szCs w:val="24"/>
        </w:rPr>
        <w:t>Mitigations or Alternative Approaches</w:t>
      </w:r>
    </w:p>
    <w:p w:rsidR="003F326C" w:rsidRDefault="00726B76" w:rsidP="00AF200D">
      <w:pPr>
        <w:rPr>
          <w:rFonts w:ascii="Arial" w:eastAsia="Malgun Gothic" w:hAnsi="Malgun Gothic"/>
          <w:b/>
          <w:sz w:val="24"/>
          <w:szCs w:val="24"/>
        </w:rPr>
      </w:pPr>
      <w:r>
        <w:rPr>
          <w:rFonts w:ascii="Arial" w:eastAsia="Malgun Gothic" w:hAnsi="Malgun Gothic"/>
          <w:b/>
          <w:sz w:val="24"/>
          <w:szCs w:val="24"/>
        </w:rPr>
        <w:br w:type="page"/>
      </w:r>
    </w:p>
    <w:p w:rsidR="0037048E" w:rsidRDefault="00726B76" w:rsidP="00AF200D">
      <w:pPr>
        <w:jc w:val="both"/>
        <w:rPr>
          <w:rFonts w:ascii="Arial" w:eastAsia="Arial" w:hAnsi="Arial"/>
          <w:b/>
          <w:sz w:val="24"/>
          <w:szCs w:val="24"/>
        </w:rPr>
      </w:pPr>
      <w:r>
        <w:rPr>
          <w:rFonts w:ascii="Arial" w:eastAsia="Malgun Gothic" w:hAnsi="Malgun Gothic"/>
          <w:b/>
          <w:sz w:val="24"/>
          <w:szCs w:val="24"/>
        </w:rPr>
        <w:lastRenderedPageBreak/>
        <w:t>4.</w:t>
      </w:r>
      <w:r>
        <w:rPr>
          <w:rFonts w:ascii="Arial" w:eastAsia="Malgun Gothic" w:hAnsi="Malgun Gothic"/>
          <w:b/>
          <w:sz w:val="24"/>
          <w:szCs w:val="24"/>
        </w:rPr>
        <w:tab/>
        <w:t>Conclusions</w:t>
      </w:r>
    </w:p>
    <w:p w:rsidR="0037048E" w:rsidRDefault="00726B76" w:rsidP="00726B76">
      <w:pPr>
        <w:ind w:left="720"/>
        <w:jc w:val="both"/>
        <w:rPr>
          <w:rFonts w:ascii="Arial" w:eastAsia="Arial" w:hAnsi="Arial"/>
          <w:sz w:val="24"/>
          <w:szCs w:val="24"/>
        </w:rPr>
      </w:pPr>
      <w:r>
        <w:rPr>
          <w:rFonts w:ascii="Arial" w:eastAsia="Malgun Gothic" w:hAnsi="Malgun Gothic"/>
          <w:sz w:val="24"/>
          <w:szCs w:val="24"/>
        </w:rPr>
        <w:t xml:space="preserve">At the end of the first 2 years of implementation of the City Deal all output targets and </w:t>
      </w:r>
      <w:bookmarkStart w:id="0" w:name="_GoBack"/>
      <w:bookmarkEnd w:id="0"/>
      <w:r>
        <w:rPr>
          <w:rFonts w:ascii="Arial" w:eastAsia="Malgun Gothic" w:hAnsi="Malgun Gothic"/>
          <w:sz w:val="24"/>
          <w:szCs w:val="24"/>
        </w:rPr>
        <w:t>delivery milestones have been met. The E&amp;</w:t>
      </w:r>
      <w:r>
        <w:rPr>
          <w:rFonts w:ascii="Arial" w:eastAsia="Malgun Gothic" w:hAnsi="Malgun Gothic"/>
          <w:sz w:val="24"/>
          <w:szCs w:val="24"/>
        </w:rPr>
        <w:t xml:space="preserve">SB has already undertaken significant work to better understand pace of housing delivery and challenges to income streams. The E&amp;SB continues to look forward and to focus on the Place of Central Lancashire. The E&amp;SB has put in place a number of checks and </w:t>
      </w:r>
      <w:r>
        <w:rPr>
          <w:rFonts w:ascii="Arial" w:eastAsia="Malgun Gothic" w:hAnsi="Malgun Gothic"/>
          <w:sz w:val="24"/>
          <w:szCs w:val="24"/>
        </w:rPr>
        <w:t xml:space="preserve">balances to control cost and manage programme delivery issues and further work needs to be done to </w:t>
      </w:r>
      <w:r>
        <w:rPr>
          <w:rFonts w:ascii="Arial" w:eastAsia="Malgun Gothic" w:hAnsi="Malgun Gothic"/>
          <w:sz w:val="24"/>
          <w:szCs w:val="24"/>
        </w:rPr>
        <w:t xml:space="preserve">continue to </w:t>
      </w:r>
      <w:r>
        <w:rPr>
          <w:rFonts w:ascii="Arial" w:eastAsia="Malgun Gothic" w:hAnsi="Malgun Gothic"/>
          <w:sz w:val="24"/>
          <w:szCs w:val="24"/>
        </w:rPr>
        <w:t>provide assurance on costs, social value and achievement of programme critical milestones. It will also be important to continue to try and estim</w:t>
      </w:r>
      <w:r>
        <w:rPr>
          <w:rFonts w:ascii="Arial" w:eastAsia="Malgun Gothic" w:hAnsi="Malgun Gothic"/>
          <w:sz w:val="24"/>
          <w:szCs w:val="24"/>
        </w:rPr>
        <w:t>ate the impact of Brexit, particularly on the appetite of local house-builders and developers in the City Deal area. A comprehensive Resource Review report will help the local partners and the LEP have a meaningful negotiation with Government, and the timi</w:t>
      </w:r>
      <w:r>
        <w:rPr>
          <w:rFonts w:ascii="Arial" w:eastAsia="Malgun Gothic" w:hAnsi="Malgun Gothic"/>
          <w:sz w:val="24"/>
          <w:szCs w:val="24"/>
        </w:rPr>
        <w:t xml:space="preserve">ng of this negotiation needs to be carefully considered and agreed by the LEP and the local partners. </w:t>
      </w:r>
    </w:p>
    <w:p w:rsidR="00AF200D" w:rsidRDefault="00AF200D" w:rsidP="00AF200D">
      <w:pPr>
        <w:jc w:val="both"/>
        <w:rPr>
          <w:rFonts w:ascii="Arial" w:eastAsia="Arial" w:hAnsi="Arial"/>
          <w:sz w:val="24"/>
          <w:szCs w:val="24"/>
        </w:rPr>
      </w:pPr>
    </w:p>
    <w:sectPr w:rsidR="00AF200D" w:rsidSect="00620B41">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Cambria"/>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7F992"/>
    <w:lvl w:ilvl="0" w:tplc="2BEA2FBA">
      <w:start w:val="1"/>
      <w:numFmt w:val="decimal"/>
      <w:lvlText w:val="%1."/>
      <w:lvlJc w:val="left"/>
      <w:pPr>
        <w:ind w:left="720" w:hanging="360"/>
      </w:pPr>
    </w:lvl>
    <w:lvl w:ilvl="1" w:tplc="6C628456">
      <w:start w:val="1"/>
      <w:numFmt w:val="lowerLetter"/>
      <w:lvlText w:val="%2."/>
      <w:lvlJc w:val="left"/>
      <w:pPr>
        <w:ind w:left="1440" w:hanging="360"/>
      </w:pPr>
    </w:lvl>
    <w:lvl w:ilvl="2" w:tplc="5F3E5672">
      <w:start w:val="1"/>
      <w:numFmt w:val="lowerRoman"/>
      <w:lvlText w:val="%3."/>
      <w:lvlJc w:val="right"/>
      <w:pPr>
        <w:ind w:left="2160" w:hanging="180"/>
      </w:pPr>
    </w:lvl>
    <w:lvl w:ilvl="3" w:tplc="C442D57A">
      <w:start w:val="1"/>
      <w:numFmt w:val="decimal"/>
      <w:lvlText w:val="%4."/>
      <w:lvlJc w:val="left"/>
      <w:pPr>
        <w:ind w:left="2880" w:hanging="360"/>
      </w:pPr>
    </w:lvl>
    <w:lvl w:ilvl="4" w:tplc="3A30BA72">
      <w:start w:val="1"/>
      <w:numFmt w:val="lowerLetter"/>
      <w:lvlText w:val="%5."/>
      <w:lvlJc w:val="left"/>
      <w:pPr>
        <w:ind w:left="3600" w:hanging="360"/>
      </w:pPr>
    </w:lvl>
    <w:lvl w:ilvl="5" w:tplc="5D2E042E">
      <w:start w:val="1"/>
      <w:numFmt w:val="lowerRoman"/>
      <w:lvlText w:val="%6."/>
      <w:lvlJc w:val="right"/>
      <w:pPr>
        <w:ind w:left="4320" w:hanging="180"/>
      </w:pPr>
    </w:lvl>
    <w:lvl w:ilvl="6" w:tplc="A38A82A4">
      <w:start w:val="1"/>
      <w:numFmt w:val="decimal"/>
      <w:lvlText w:val="%7."/>
      <w:lvlJc w:val="left"/>
      <w:pPr>
        <w:ind w:left="5040" w:hanging="360"/>
      </w:pPr>
    </w:lvl>
    <w:lvl w:ilvl="7" w:tplc="44969BB8">
      <w:start w:val="1"/>
      <w:numFmt w:val="lowerLetter"/>
      <w:lvlText w:val="%8."/>
      <w:lvlJc w:val="left"/>
      <w:pPr>
        <w:ind w:left="5760" w:hanging="360"/>
      </w:pPr>
    </w:lvl>
    <w:lvl w:ilvl="8" w:tplc="55983C88">
      <w:start w:val="1"/>
      <w:numFmt w:val="lowerRoman"/>
      <w:lvlText w:val="%9."/>
      <w:lvlJc w:val="right"/>
      <w:pPr>
        <w:ind w:left="6480" w:hanging="180"/>
      </w:pPr>
    </w:lvl>
  </w:abstractNum>
  <w:abstractNum w:abstractNumId="1" w15:restartNumberingAfterBreak="0">
    <w:nsid w:val="00000002"/>
    <w:multiLevelType w:val="hybridMultilevel"/>
    <w:tmpl w:val="13321962"/>
    <w:lvl w:ilvl="0" w:tplc="72B62A1C">
      <w:start w:val="1"/>
      <w:numFmt w:val="bullet"/>
      <w:lvlText w:val="·"/>
      <w:lvlJc w:val="left"/>
      <w:pPr>
        <w:ind w:left="720" w:hanging="360"/>
      </w:pPr>
      <w:rPr>
        <w:rFonts w:ascii="Symbol" w:eastAsia="Symbol" w:hAnsi="Symbol"/>
        <w:w w:val="100"/>
        <w:sz w:val="20"/>
        <w:szCs w:val="20"/>
        <w:shd w:val="clear" w:color="000000" w:fill="auto"/>
      </w:rPr>
    </w:lvl>
    <w:lvl w:ilvl="1" w:tplc="CBEC92A0">
      <w:start w:val="1"/>
      <w:numFmt w:val="bullet"/>
      <w:lvlText w:val="o"/>
      <w:lvlJc w:val="left"/>
      <w:pPr>
        <w:ind w:left="1440" w:hanging="360"/>
      </w:pPr>
      <w:rPr>
        <w:rFonts w:ascii="Courier New" w:eastAsia="Courier New" w:hAnsi="Courier New"/>
        <w:w w:val="100"/>
        <w:sz w:val="20"/>
        <w:szCs w:val="20"/>
        <w:shd w:val="clear" w:color="000000" w:fill="auto"/>
      </w:rPr>
    </w:lvl>
    <w:lvl w:ilvl="2" w:tplc="9F2E3B06">
      <w:start w:val="1"/>
      <w:numFmt w:val="bullet"/>
      <w:lvlText w:val="§"/>
      <w:lvlJc w:val="left"/>
      <w:pPr>
        <w:ind w:left="2160" w:hanging="360"/>
      </w:pPr>
      <w:rPr>
        <w:rFonts w:ascii="Wingdings" w:eastAsia="Wingdings" w:hAnsi="Wingdings"/>
        <w:w w:val="100"/>
        <w:sz w:val="20"/>
        <w:szCs w:val="20"/>
        <w:shd w:val="clear" w:color="000000" w:fill="auto"/>
      </w:rPr>
    </w:lvl>
    <w:lvl w:ilvl="3" w:tplc="D480DAF2">
      <w:start w:val="1"/>
      <w:numFmt w:val="bullet"/>
      <w:lvlText w:val="·"/>
      <w:lvlJc w:val="left"/>
      <w:pPr>
        <w:ind w:left="2880" w:hanging="360"/>
      </w:pPr>
      <w:rPr>
        <w:rFonts w:ascii="Symbol" w:eastAsia="Symbol" w:hAnsi="Symbol"/>
        <w:w w:val="100"/>
        <w:sz w:val="20"/>
        <w:szCs w:val="20"/>
        <w:shd w:val="clear" w:color="000000" w:fill="auto"/>
      </w:rPr>
    </w:lvl>
    <w:lvl w:ilvl="4" w:tplc="200CC5C2">
      <w:start w:val="1"/>
      <w:numFmt w:val="bullet"/>
      <w:lvlText w:val="o"/>
      <w:lvlJc w:val="left"/>
      <w:pPr>
        <w:ind w:left="3600" w:hanging="360"/>
      </w:pPr>
      <w:rPr>
        <w:rFonts w:ascii="Courier New" w:eastAsia="Courier New" w:hAnsi="Courier New"/>
        <w:w w:val="100"/>
        <w:sz w:val="20"/>
        <w:szCs w:val="20"/>
        <w:shd w:val="clear" w:color="000000" w:fill="auto"/>
      </w:rPr>
    </w:lvl>
    <w:lvl w:ilvl="5" w:tplc="534CED0A">
      <w:start w:val="1"/>
      <w:numFmt w:val="bullet"/>
      <w:lvlText w:val="§"/>
      <w:lvlJc w:val="left"/>
      <w:pPr>
        <w:ind w:left="4320" w:hanging="360"/>
      </w:pPr>
      <w:rPr>
        <w:rFonts w:ascii="Wingdings" w:eastAsia="Wingdings" w:hAnsi="Wingdings"/>
        <w:w w:val="100"/>
        <w:sz w:val="20"/>
        <w:szCs w:val="20"/>
        <w:shd w:val="clear" w:color="000000" w:fill="auto"/>
      </w:rPr>
    </w:lvl>
    <w:lvl w:ilvl="6" w:tplc="1A322F4E">
      <w:start w:val="1"/>
      <w:numFmt w:val="bullet"/>
      <w:lvlText w:val="·"/>
      <w:lvlJc w:val="left"/>
      <w:pPr>
        <w:ind w:left="5040" w:hanging="360"/>
      </w:pPr>
      <w:rPr>
        <w:rFonts w:ascii="Symbol" w:eastAsia="Symbol" w:hAnsi="Symbol"/>
        <w:w w:val="100"/>
        <w:sz w:val="20"/>
        <w:szCs w:val="20"/>
        <w:shd w:val="clear" w:color="000000" w:fill="auto"/>
      </w:rPr>
    </w:lvl>
    <w:lvl w:ilvl="7" w:tplc="51603876">
      <w:start w:val="1"/>
      <w:numFmt w:val="bullet"/>
      <w:lvlText w:val="o"/>
      <w:lvlJc w:val="left"/>
      <w:pPr>
        <w:ind w:left="5760" w:hanging="360"/>
      </w:pPr>
      <w:rPr>
        <w:rFonts w:ascii="Courier New" w:eastAsia="Courier New" w:hAnsi="Courier New"/>
        <w:w w:val="100"/>
        <w:sz w:val="20"/>
        <w:szCs w:val="20"/>
        <w:shd w:val="clear" w:color="000000" w:fill="auto"/>
      </w:rPr>
    </w:lvl>
    <w:lvl w:ilvl="8" w:tplc="53E6F858">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3E207AC6"/>
    <w:lvl w:ilvl="0" w:tplc="669E2C18">
      <w:start w:val="1"/>
      <w:numFmt w:val="lowerRoman"/>
      <w:lvlText w:val="(%1)"/>
      <w:lvlJc w:val="left"/>
      <w:pPr>
        <w:ind w:left="1080" w:hanging="720"/>
      </w:pPr>
    </w:lvl>
    <w:lvl w:ilvl="1" w:tplc="0E482042">
      <w:start w:val="1"/>
      <w:numFmt w:val="lowerLetter"/>
      <w:lvlText w:val="%2."/>
      <w:lvlJc w:val="left"/>
      <w:pPr>
        <w:ind w:left="1440" w:hanging="360"/>
      </w:pPr>
    </w:lvl>
    <w:lvl w:ilvl="2" w:tplc="0A1E6D1E">
      <w:start w:val="1"/>
      <w:numFmt w:val="lowerRoman"/>
      <w:lvlText w:val="%3."/>
      <w:lvlJc w:val="right"/>
      <w:pPr>
        <w:ind w:left="2160" w:hanging="180"/>
      </w:pPr>
    </w:lvl>
    <w:lvl w:ilvl="3" w:tplc="814476F6">
      <w:start w:val="1"/>
      <w:numFmt w:val="decimal"/>
      <w:lvlText w:val="%4."/>
      <w:lvlJc w:val="left"/>
      <w:pPr>
        <w:ind w:left="2880" w:hanging="360"/>
      </w:pPr>
    </w:lvl>
    <w:lvl w:ilvl="4" w:tplc="1FF0BD02">
      <w:start w:val="1"/>
      <w:numFmt w:val="lowerLetter"/>
      <w:lvlText w:val="%5."/>
      <w:lvlJc w:val="left"/>
      <w:pPr>
        <w:ind w:left="3600" w:hanging="360"/>
      </w:pPr>
    </w:lvl>
    <w:lvl w:ilvl="5" w:tplc="A21C764A">
      <w:start w:val="1"/>
      <w:numFmt w:val="lowerRoman"/>
      <w:lvlText w:val="%6."/>
      <w:lvlJc w:val="right"/>
      <w:pPr>
        <w:ind w:left="4320" w:hanging="180"/>
      </w:pPr>
    </w:lvl>
    <w:lvl w:ilvl="6" w:tplc="513CE03A">
      <w:start w:val="1"/>
      <w:numFmt w:val="decimal"/>
      <w:lvlText w:val="%7."/>
      <w:lvlJc w:val="left"/>
      <w:pPr>
        <w:ind w:left="5040" w:hanging="360"/>
      </w:pPr>
    </w:lvl>
    <w:lvl w:ilvl="7" w:tplc="9ACC1EFC">
      <w:start w:val="1"/>
      <w:numFmt w:val="lowerLetter"/>
      <w:lvlText w:val="%8."/>
      <w:lvlJc w:val="left"/>
      <w:pPr>
        <w:ind w:left="5760" w:hanging="360"/>
      </w:pPr>
    </w:lvl>
    <w:lvl w:ilvl="8" w:tplc="FFAE4E68">
      <w:start w:val="1"/>
      <w:numFmt w:val="lowerRoman"/>
      <w:lvlText w:val="%9."/>
      <w:lvlJc w:val="right"/>
      <w:pPr>
        <w:ind w:left="6480" w:hanging="180"/>
      </w:pPr>
    </w:lvl>
  </w:abstractNum>
  <w:abstractNum w:abstractNumId="3" w15:restartNumberingAfterBreak="0">
    <w:nsid w:val="00000004"/>
    <w:multiLevelType w:val="hybridMultilevel"/>
    <w:tmpl w:val="465C7D07"/>
    <w:lvl w:ilvl="0" w:tplc="D1E020A2">
      <w:start w:val="1"/>
      <w:numFmt w:val="bullet"/>
      <w:lvlText w:val="·"/>
      <w:lvlJc w:val="left"/>
      <w:pPr>
        <w:ind w:left="720" w:hanging="360"/>
      </w:pPr>
      <w:rPr>
        <w:rFonts w:ascii="Symbol" w:eastAsia="Symbol" w:hAnsi="Symbol"/>
        <w:w w:val="100"/>
        <w:sz w:val="20"/>
        <w:szCs w:val="20"/>
        <w:shd w:val="clear" w:color="000000" w:fill="auto"/>
      </w:rPr>
    </w:lvl>
    <w:lvl w:ilvl="1" w:tplc="404E6100">
      <w:start w:val="1"/>
      <w:numFmt w:val="bullet"/>
      <w:lvlText w:val="o"/>
      <w:lvlJc w:val="left"/>
      <w:pPr>
        <w:ind w:left="1440" w:hanging="360"/>
      </w:pPr>
      <w:rPr>
        <w:rFonts w:ascii="Courier New" w:eastAsia="Courier New" w:hAnsi="Courier New"/>
        <w:w w:val="100"/>
        <w:sz w:val="20"/>
        <w:szCs w:val="20"/>
        <w:shd w:val="clear" w:color="000000" w:fill="auto"/>
      </w:rPr>
    </w:lvl>
    <w:lvl w:ilvl="2" w:tplc="B96AB4CE">
      <w:start w:val="1"/>
      <w:numFmt w:val="bullet"/>
      <w:lvlText w:val="§"/>
      <w:lvlJc w:val="left"/>
      <w:pPr>
        <w:ind w:left="2160" w:hanging="360"/>
      </w:pPr>
      <w:rPr>
        <w:rFonts w:ascii="Wingdings" w:eastAsia="Wingdings" w:hAnsi="Wingdings"/>
        <w:w w:val="100"/>
        <w:sz w:val="20"/>
        <w:szCs w:val="20"/>
        <w:shd w:val="clear" w:color="000000" w:fill="auto"/>
      </w:rPr>
    </w:lvl>
    <w:lvl w:ilvl="3" w:tplc="B8E01C52">
      <w:start w:val="1"/>
      <w:numFmt w:val="bullet"/>
      <w:lvlText w:val="·"/>
      <w:lvlJc w:val="left"/>
      <w:pPr>
        <w:ind w:left="2880" w:hanging="360"/>
      </w:pPr>
      <w:rPr>
        <w:rFonts w:ascii="Symbol" w:eastAsia="Symbol" w:hAnsi="Symbol"/>
        <w:w w:val="100"/>
        <w:sz w:val="20"/>
        <w:szCs w:val="20"/>
        <w:shd w:val="clear" w:color="000000" w:fill="auto"/>
      </w:rPr>
    </w:lvl>
    <w:lvl w:ilvl="4" w:tplc="D2EAED88">
      <w:start w:val="1"/>
      <w:numFmt w:val="bullet"/>
      <w:lvlText w:val="o"/>
      <w:lvlJc w:val="left"/>
      <w:pPr>
        <w:ind w:left="3600" w:hanging="360"/>
      </w:pPr>
      <w:rPr>
        <w:rFonts w:ascii="Courier New" w:eastAsia="Courier New" w:hAnsi="Courier New"/>
        <w:w w:val="100"/>
        <w:sz w:val="20"/>
        <w:szCs w:val="20"/>
        <w:shd w:val="clear" w:color="000000" w:fill="auto"/>
      </w:rPr>
    </w:lvl>
    <w:lvl w:ilvl="5" w:tplc="0B9495D8">
      <w:start w:val="1"/>
      <w:numFmt w:val="bullet"/>
      <w:lvlText w:val="§"/>
      <w:lvlJc w:val="left"/>
      <w:pPr>
        <w:ind w:left="4320" w:hanging="360"/>
      </w:pPr>
      <w:rPr>
        <w:rFonts w:ascii="Wingdings" w:eastAsia="Wingdings" w:hAnsi="Wingdings"/>
        <w:w w:val="100"/>
        <w:sz w:val="20"/>
        <w:szCs w:val="20"/>
        <w:shd w:val="clear" w:color="000000" w:fill="auto"/>
      </w:rPr>
    </w:lvl>
    <w:lvl w:ilvl="6" w:tplc="1874780E">
      <w:start w:val="1"/>
      <w:numFmt w:val="bullet"/>
      <w:lvlText w:val="·"/>
      <w:lvlJc w:val="left"/>
      <w:pPr>
        <w:ind w:left="5040" w:hanging="360"/>
      </w:pPr>
      <w:rPr>
        <w:rFonts w:ascii="Symbol" w:eastAsia="Symbol" w:hAnsi="Symbol"/>
        <w:w w:val="100"/>
        <w:sz w:val="20"/>
        <w:szCs w:val="20"/>
        <w:shd w:val="clear" w:color="000000" w:fill="auto"/>
      </w:rPr>
    </w:lvl>
    <w:lvl w:ilvl="7" w:tplc="1A8CDF34">
      <w:start w:val="1"/>
      <w:numFmt w:val="bullet"/>
      <w:lvlText w:val="o"/>
      <w:lvlJc w:val="left"/>
      <w:pPr>
        <w:ind w:left="5760" w:hanging="360"/>
      </w:pPr>
      <w:rPr>
        <w:rFonts w:ascii="Courier New" w:eastAsia="Courier New" w:hAnsi="Courier New"/>
        <w:w w:val="100"/>
        <w:sz w:val="20"/>
        <w:szCs w:val="20"/>
        <w:shd w:val="clear" w:color="000000" w:fill="auto"/>
      </w:rPr>
    </w:lvl>
    <w:lvl w:ilvl="8" w:tplc="5F3C0FE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4" w15:restartNumberingAfterBreak="0">
    <w:nsid w:val="00000005"/>
    <w:multiLevelType w:val="hybridMultilevel"/>
    <w:tmpl w:val="3CA0203E"/>
    <w:lvl w:ilvl="0" w:tplc="42B0CA32">
      <w:start w:val="1"/>
      <w:numFmt w:val="lowerRoman"/>
      <w:lvlText w:val="(%1)"/>
      <w:lvlJc w:val="left"/>
      <w:pPr>
        <w:ind w:left="1440" w:hanging="720"/>
      </w:pPr>
      <w:rPr>
        <w:w w:val="100"/>
        <w:sz w:val="24"/>
        <w:szCs w:val="24"/>
        <w:shd w:val="clear" w:color="000000" w:fill="auto"/>
      </w:rPr>
    </w:lvl>
    <w:lvl w:ilvl="1" w:tplc="137A8D70">
      <w:start w:val="1"/>
      <w:numFmt w:val="lowerLetter"/>
      <w:lvlText w:val="%2."/>
      <w:lvlJc w:val="left"/>
      <w:pPr>
        <w:ind w:left="1800" w:hanging="360"/>
      </w:pPr>
    </w:lvl>
    <w:lvl w:ilvl="2" w:tplc="8DB25F74">
      <w:start w:val="1"/>
      <w:numFmt w:val="lowerRoman"/>
      <w:lvlText w:val="%3."/>
      <w:lvlJc w:val="right"/>
      <w:pPr>
        <w:ind w:left="2520" w:hanging="180"/>
      </w:pPr>
    </w:lvl>
    <w:lvl w:ilvl="3" w:tplc="3B8488EE">
      <w:start w:val="1"/>
      <w:numFmt w:val="decimal"/>
      <w:lvlText w:val="%4."/>
      <w:lvlJc w:val="left"/>
      <w:pPr>
        <w:ind w:left="3240" w:hanging="360"/>
      </w:pPr>
    </w:lvl>
    <w:lvl w:ilvl="4" w:tplc="972015D2">
      <w:start w:val="1"/>
      <w:numFmt w:val="lowerLetter"/>
      <w:lvlText w:val="%5."/>
      <w:lvlJc w:val="left"/>
      <w:pPr>
        <w:ind w:left="3960" w:hanging="360"/>
      </w:pPr>
    </w:lvl>
    <w:lvl w:ilvl="5" w:tplc="7D00ECD0">
      <w:start w:val="1"/>
      <w:numFmt w:val="lowerRoman"/>
      <w:lvlText w:val="%6."/>
      <w:lvlJc w:val="right"/>
      <w:pPr>
        <w:ind w:left="4680" w:hanging="180"/>
      </w:pPr>
    </w:lvl>
    <w:lvl w:ilvl="6" w:tplc="74461F92">
      <w:start w:val="1"/>
      <w:numFmt w:val="decimal"/>
      <w:lvlText w:val="%7."/>
      <w:lvlJc w:val="left"/>
      <w:pPr>
        <w:ind w:left="5400" w:hanging="360"/>
      </w:pPr>
    </w:lvl>
    <w:lvl w:ilvl="7" w:tplc="A5900928">
      <w:start w:val="1"/>
      <w:numFmt w:val="lowerLetter"/>
      <w:lvlText w:val="%8."/>
      <w:lvlJc w:val="left"/>
      <w:pPr>
        <w:ind w:left="6120" w:hanging="360"/>
      </w:pPr>
    </w:lvl>
    <w:lvl w:ilvl="8" w:tplc="8B4A1F50">
      <w:start w:val="1"/>
      <w:numFmt w:val="lowerRoman"/>
      <w:lvlText w:val="%9."/>
      <w:lvlJc w:val="right"/>
      <w:pPr>
        <w:ind w:left="6840" w:hanging="180"/>
      </w:pPr>
    </w:lvl>
  </w:abstractNum>
  <w:abstractNum w:abstractNumId="5" w15:restartNumberingAfterBreak="0">
    <w:nsid w:val="4675308B"/>
    <w:multiLevelType w:val="hybridMultilevel"/>
    <w:tmpl w:val="05283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08630D"/>
    <w:multiLevelType w:val="hybridMultilevel"/>
    <w:tmpl w:val="74261200"/>
    <w:lvl w:ilvl="0" w:tplc="4E1A9232">
      <w:start w:val="1"/>
      <w:numFmt w:val="bullet"/>
      <w:lvlText w:val="·"/>
      <w:lvlJc w:val="left"/>
      <w:pPr>
        <w:ind w:left="1080" w:hanging="360"/>
      </w:pPr>
      <w:rPr>
        <w:rFonts w:ascii="Symbol" w:eastAsia="Symbol" w:hAnsi="Symbol"/>
        <w:w w:val="100"/>
        <w:sz w:val="20"/>
        <w:szCs w:val="20"/>
        <w:shd w:val="clear" w:color="000000" w:fill="auto"/>
      </w:rPr>
    </w:lvl>
    <w:lvl w:ilvl="1" w:tplc="358CAB1E">
      <w:start w:val="1"/>
      <w:numFmt w:val="bullet"/>
      <w:lvlText w:val="o"/>
      <w:lvlJc w:val="left"/>
      <w:pPr>
        <w:ind w:left="1800" w:hanging="360"/>
      </w:pPr>
      <w:rPr>
        <w:rFonts w:ascii="Courier New" w:eastAsia="Courier New" w:hAnsi="Courier New"/>
        <w:w w:val="100"/>
        <w:sz w:val="20"/>
        <w:szCs w:val="20"/>
        <w:shd w:val="clear" w:color="000000" w:fill="auto"/>
      </w:rPr>
    </w:lvl>
    <w:lvl w:ilvl="2" w:tplc="307C6D0E">
      <w:start w:val="1"/>
      <w:numFmt w:val="bullet"/>
      <w:lvlText w:val="§"/>
      <w:lvlJc w:val="left"/>
      <w:pPr>
        <w:ind w:left="2520" w:hanging="360"/>
      </w:pPr>
      <w:rPr>
        <w:rFonts w:ascii="Wingdings" w:eastAsia="Wingdings" w:hAnsi="Wingdings"/>
        <w:w w:val="100"/>
        <w:sz w:val="20"/>
        <w:szCs w:val="20"/>
        <w:shd w:val="clear" w:color="000000" w:fill="auto"/>
      </w:rPr>
    </w:lvl>
    <w:lvl w:ilvl="3" w:tplc="4A9491EC">
      <w:start w:val="1"/>
      <w:numFmt w:val="bullet"/>
      <w:lvlText w:val="·"/>
      <w:lvlJc w:val="left"/>
      <w:pPr>
        <w:ind w:left="3240" w:hanging="360"/>
      </w:pPr>
      <w:rPr>
        <w:rFonts w:ascii="Symbol" w:eastAsia="Symbol" w:hAnsi="Symbol"/>
        <w:w w:val="100"/>
        <w:sz w:val="20"/>
        <w:szCs w:val="20"/>
        <w:shd w:val="clear" w:color="000000" w:fill="auto"/>
      </w:rPr>
    </w:lvl>
    <w:lvl w:ilvl="4" w:tplc="6E3EC568">
      <w:start w:val="1"/>
      <w:numFmt w:val="bullet"/>
      <w:lvlText w:val="o"/>
      <w:lvlJc w:val="left"/>
      <w:pPr>
        <w:ind w:left="3960" w:hanging="360"/>
      </w:pPr>
      <w:rPr>
        <w:rFonts w:ascii="Courier New" w:eastAsia="Courier New" w:hAnsi="Courier New"/>
        <w:w w:val="100"/>
        <w:sz w:val="20"/>
        <w:szCs w:val="20"/>
        <w:shd w:val="clear" w:color="000000" w:fill="auto"/>
      </w:rPr>
    </w:lvl>
    <w:lvl w:ilvl="5" w:tplc="A82041FE">
      <w:start w:val="1"/>
      <w:numFmt w:val="bullet"/>
      <w:lvlText w:val="§"/>
      <w:lvlJc w:val="left"/>
      <w:pPr>
        <w:ind w:left="4680" w:hanging="360"/>
      </w:pPr>
      <w:rPr>
        <w:rFonts w:ascii="Wingdings" w:eastAsia="Wingdings" w:hAnsi="Wingdings"/>
        <w:w w:val="100"/>
        <w:sz w:val="20"/>
        <w:szCs w:val="20"/>
        <w:shd w:val="clear" w:color="000000" w:fill="auto"/>
      </w:rPr>
    </w:lvl>
    <w:lvl w:ilvl="6" w:tplc="161A34AA">
      <w:start w:val="1"/>
      <w:numFmt w:val="bullet"/>
      <w:lvlText w:val="·"/>
      <w:lvlJc w:val="left"/>
      <w:pPr>
        <w:ind w:left="5400" w:hanging="360"/>
      </w:pPr>
      <w:rPr>
        <w:rFonts w:ascii="Symbol" w:eastAsia="Symbol" w:hAnsi="Symbol"/>
        <w:w w:val="100"/>
        <w:sz w:val="20"/>
        <w:szCs w:val="20"/>
        <w:shd w:val="clear" w:color="000000" w:fill="auto"/>
      </w:rPr>
    </w:lvl>
    <w:lvl w:ilvl="7" w:tplc="A648C2C2">
      <w:start w:val="1"/>
      <w:numFmt w:val="bullet"/>
      <w:lvlText w:val="o"/>
      <w:lvlJc w:val="left"/>
      <w:pPr>
        <w:ind w:left="6120" w:hanging="360"/>
      </w:pPr>
      <w:rPr>
        <w:rFonts w:ascii="Courier New" w:eastAsia="Courier New" w:hAnsi="Courier New"/>
        <w:w w:val="100"/>
        <w:sz w:val="20"/>
        <w:szCs w:val="20"/>
        <w:shd w:val="clear" w:color="000000" w:fill="auto"/>
      </w:rPr>
    </w:lvl>
    <w:lvl w:ilvl="8" w:tplc="0D0033E0">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7" w15:restartNumberingAfterBreak="0">
    <w:nsid w:val="63975714"/>
    <w:multiLevelType w:val="hybridMultilevel"/>
    <w:tmpl w:val="CF04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2"/>
  </w:compat>
  <w:rsids>
    <w:rsidRoot w:val="0037048E"/>
    <w:rsid w:val="0037048E"/>
    <w:rsid w:val="00726B76"/>
    <w:rsid w:val="00AF200D"/>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C7C4C73-07CE-4BEC-9B8C-B634C13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0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620B41"/>
  </w:style>
  <w:style w:type="paragraph" w:styleId="ListParagraph">
    <w:name w:val="List Paragraph"/>
    <w:basedOn w:val="Normal"/>
    <w:uiPriority w:val="26"/>
    <w:qFormat/>
    <w:rsid w:val="00620B41"/>
    <w:pPr>
      <w:ind w:left="720"/>
    </w:pPr>
  </w:style>
  <w:style w:type="table" w:styleId="TableGrid">
    <w:name w:val="Table Grid"/>
    <w:basedOn w:val="TableNormal"/>
    <w:uiPriority w:val="37"/>
    <w:rsid w:val="0062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0B41"/>
    <w:rPr>
      <w:rFonts w:ascii="Segoe UI" w:eastAsia="Segoe UI" w:hAnsi="Segoe UI"/>
      <w:sz w:val="18"/>
      <w:szCs w:val="18"/>
    </w:rPr>
  </w:style>
  <w:style w:type="character" w:customStyle="1" w:styleId="BalloonTextChar">
    <w:name w:val="Balloon Text Char"/>
    <w:basedOn w:val="DefaultParagraphFont"/>
    <w:link w:val="BalloonText"/>
    <w:semiHidden/>
    <w:rsid w:val="00620B41"/>
    <w:rPr>
      <w:rFonts w:ascii="Segoe UI" w:eastAsia="Segoe UI" w:hAnsi="Segoe UI"/>
      <w:w w:val="100"/>
      <w:sz w:val="18"/>
      <w:szCs w:val="18"/>
      <w:shd w:val="clear" w:color="000000" w:fill="auto"/>
    </w:rPr>
  </w:style>
  <w:style w:type="paragraph" w:styleId="PlainText">
    <w:name w:val="Plain Text"/>
    <w:basedOn w:val="Normal"/>
    <w:link w:val="PlainTextChar"/>
    <w:uiPriority w:val="99"/>
    <w:unhideWhenUsed/>
    <w:rsid w:val="00620B41"/>
    <w:rPr>
      <w:sz w:val="20"/>
      <w:szCs w:val="20"/>
    </w:rPr>
  </w:style>
  <w:style w:type="character" w:customStyle="1" w:styleId="PlainTextChar">
    <w:name w:val="Plain Text Char"/>
    <w:basedOn w:val="DefaultParagraphFont"/>
    <w:link w:val="PlainText"/>
    <w:uiPriority w:val="99"/>
    <w:rsid w:val="00620B41"/>
    <w:rPr>
      <w:rFonts w:ascii="Calibri" w:eastAsia="Calibri" w:hAnsi="Calibri"/>
      <w:w w:val="100"/>
      <w:sz w:val="20"/>
      <w:szCs w:val="20"/>
      <w:shd w:val="clear" w:color="000000" w:fill="auto"/>
    </w:rPr>
  </w:style>
  <w:style w:type="character" w:styleId="CommentReference">
    <w:name w:val="annotation reference"/>
    <w:basedOn w:val="DefaultParagraphFont"/>
    <w:semiHidden/>
    <w:unhideWhenUsed/>
    <w:rsid w:val="00620B41"/>
    <w:rPr>
      <w:w w:val="100"/>
      <w:sz w:val="16"/>
      <w:szCs w:val="16"/>
      <w:shd w:val="clear" w:color="000000" w:fill="auto"/>
    </w:rPr>
  </w:style>
  <w:style w:type="paragraph" w:styleId="CommentText">
    <w:name w:val="annotation text"/>
    <w:basedOn w:val="Normal"/>
    <w:link w:val="CommentTextChar"/>
    <w:semiHidden/>
    <w:unhideWhenUsed/>
    <w:rsid w:val="00620B41"/>
    <w:rPr>
      <w:sz w:val="20"/>
      <w:szCs w:val="20"/>
    </w:rPr>
  </w:style>
  <w:style w:type="character" w:customStyle="1" w:styleId="CommentTextChar">
    <w:name w:val="Comment Text Char"/>
    <w:basedOn w:val="DefaultParagraphFont"/>
    <w:link w:val="CommentText"/>
    <w:semiHidden/>
    <w:rsid w:val="00620B41"/>
    <w:rPr>
      <w:w w:val="100"/>
      <w:sz w:val="20"/>
      <w:szCs w:val="20"/>
      <w:shd w:val="clear" w:color="000000" w:fill="auto"/>
    </w:rPr>
  </w:style>
  <w:style w:type="paragraph" w:styleId="CommentSubject">
    <w:name w:val="annotation subject"/>
    <w:basedOn w:val="CommentText"/>
    <w:next w:val="CommentText"/>
    <w:link w:val="CommentSubjectChar"/>
    <w:semiHidden/>
    <w:unhideWhenUsed/>
    <w:rsid w:val="00620B41"/>
    <w:rPr>
      <w:b/>
    </w:rPr>
  </w:style>
  <w:style w:type="character" w:customStyle="1" w:styleId="CommentSubjectChar">
    <w:name w:val="Comment Subject Char"/>
    <w:basedOn w:val="CommentTextChar"/>
    <w:link w:val="CommentSubject"/>
    <w:semiHidden/>
    <w:rsid w:val="00620B41"/>
    <w:rPr>
      <w:b/>
      <w:w w:val="100"/>
      <w:sz w:val="20"/>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C34B6A-922B-4297-8BCE-FA90DC3478A0}" type="doc">
      <dgm:prSet loTypeId="urn:microsoft.com/office/officeart/2005/8/layout/process2" loCatId="process" qsTypeId="urn:microsoft.com/office/officeart/2005/8/quickstyle/simple1" qsCatId="simple" csTypeId="urn:microsoft.com/office/officeart/2005/8/colors/accent1_2" csCatId="accent1" phldr="1"/>
      <dgm:spPr/>
    </dgm:pt>
    <dgm:pt modelId="{3CC48525-7781-4B6E-88D7-215DBF5E1841}">
      <dgm:prSet phldrT="[Tex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Monitoring Group </a:t>
          </a:r>
        </a:p>
        <a:p>
          <a:pPr algn="ctr"/>
          <a:r>
            <a:rPr lang="en-GB" sz="1000">
              <a:latin typeface="Arial" panose="020B0604020202020204" pitchFamily="34" charset="0"/>
              <a:cs typeface="Arial" panose="020B0604020202020204" pitchFamily="34" charset="0"/>
            </a:rPr>
            <a:t>Collate performance information from Project Managers and prepare quarterly monitoring report.</a:t>
          </a:r>
        </a:p>
      </dgm:t>
    </dgm:pt>
    <dgm:pt modelId="{5B449DBA-9718-4A96-8AC5-1BCE8184CC44}" type="parTrans" cxnId="{F5675419-348B-4933-9023-4488AE8439B4}">
      <dgm:prSet/>
      <dgm:spPr/>
      <dgm:t>
        <a:bodyPr/>
        <a:lstStyle/>
        <a:p>
          <a:pPr algn="ctr"/>
          <a:endParaRPr lang="en-GB"/>
        </a:p>
      </dgm:t>
    </dgm:pt>
    <dgm:pt modelId="{29CEF87E-E3B5-4F65-B921-5750A469CA9A}" type="sibTrans" cxnId="{F5675419-348B-4933-9023-4488AE8439B4}">
      <dgm:prSet/>
      <dgm:spPr/>
      <dgm:t>
        <a:bodyPr/>
        <a:lstStyle/>
        <a:p>
          <a:pPr algn="ctr"/>
          <a:endParaRPr lang="en-GB"/>
        </a:p>
      </dgm:t>
    </dgm:pt>
    <dgm:pt modelId="{E27E7F2F-7069-4BB7-890D-E73B207850FC}">
      <dgm:prSet phldrT="[Tex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Infrastructure Delivery Steering Group</a:t>
          </a:r>
        </a:p>
        <a:p>
          <a:pPr algn="ctr"/>
          <a:r>
            <a:rPr lang="en-GB" sz="1000">
              <a:latin typeface="Arial" panose="020B0604020202020204" pitchFamily="34" charset="0"/>
              <a:cs typeface="Arial" panose="020B0604020202020204" pitchFamily="34" charset="0"/>
            </a:rPr>
            <a:t>Meets monthly.  Considers and discusses monitoring report, to idenitfy solutions to issues and agree any mitigation</a:t>
          </a:r>
        </a:p>
      </dgm:t>
    </dgm:pt>
    <dgm:pt modelId="{CA9C19AD-A4D5-41F3-8E79-B9E9F3261F2C}" type="parTrans" cxnId="{1003D225-443D-4B5B-AE13-A3F87AB26628}">
      <dgm:prSet/>
      <dgm:spPr/>
      <dgm:t>
        <a:bodyPr/>
        <a:lstStyle/>
        <a:p>
          <a:pPr algn="ctr"/>
          <a:endParaRPr lang="en-GB"/>
        </a:p>
      </dgm:t>
    </dgm:pt>
    <dgm:pt modelId="{64CDDEE1-CA5B-471B-A39D-D31D73DC55CD}" type="sibTrans" cxnId="{1003D225-443D-4B5B-AE13-A3F87AB26628}">
      <dgm:prSet/>
      <dgm:spPr/>
      <dgm:t>
        <a:bodyPr/>
        <a:lstStyle/>
        <a:p>
          <a:pPr algn="ctr"/>
          <a:endParaRPr lang="en-GB"/>
        </a:p>
      </dgm:t>
    </dgm:pt>
    <dgm:pt modelId="{8C2DFD68-9358-4BFC-85DB-FDFCACE02A0E}">
      <dgm:prSet phldrT="[Text]" custT="1"/>
      <dgm:spPr/>
      <dgm:t>
        <a:bodyPr/>
        <a:lstStyle/>
        <a:p>
          <a:pPr algn="ctr"/>
          <a:endParaRPr lang="en-GB" sz="1000">
            <a:solidFill>
              <a:schemeClr val="accent4">
                <a:lumMod val="40000"/>
                <a:lumOff val="60000"/>
              </a:schemeClr>
            </a:solidFill>
            <a:latin typeface="Arial" panose="020B0604020202020204" pitchFamily="34" charset="0"/>
            <a:cs typeface="Arial" panose="020B0604020202020204" pitchFamily="34" charset="0"/>
          </a:endParaRPr>
        </a:p>
        <a:p>
          <a:pPr algn="ctr"/>
          <a:r>
            <a:rPr lang="en-GB" sz="1000">
              <a:solidFill>
                <a:schemeClr val="accent4">
                  <a:lumMod val="40000"/>
                  <a:lumOff val="60000"/>
                </a:schemeClr>
              </a:solidFill>
              <a:latin typeface="Arial" panose="020B0604020202020204" pitchFamily="34" charset="0"/>
              <a:cs typeface="Arial" panose="020B0604020202020204" pitchFamily="34" charset="0"/>
            </a:rPr>
            <a:t>Programme Manager</a:t>
          </a:r>
        </a:p>
        <a:p>
          <a:pPr algn="ctr"/>
          <a:r>
            <a:rPr lang="en-GB" sz="1000">
              <a:latin typeface="Arial" panose="020B0604020202020204" pitchFamily="34" charset="0"/>
              <a:cs typeface="Arial" panose="020B0604020202020204" pitchFamily="34" charset="0"/>
            </a:rPr>
            <a:t>Prepares early exception report for Project Team drawing out significant issues highlighted in monitoring report</a:t>
          </a:r>
        </a:p>
        <a:p>
          <a:pPr algn="ctr"/>
          <a:r>
            <a:rPr lang="en-GB" sz="1000">
              <a:latin typeface="Arial" panose="020B0604020202020204" pitchFamily="34" charset="0"/>
              <a:cs typeface="Arial" panose="020B0604020202020204" pitchFamily="34" charset="0"/>
            </a:rPr>
            <a:t> </a:t>
          </a:r>
        </a:p>
      </dgm:t>
    </dgm:pt>
    <dgm:pt modelId="{8E31D080-466C-4C07-8216-7FCC04740508}" type="parTrans" cxnId="{24752180-6299-4B40-A047-1297E9F67E0F}">
      <dgm:prSet/>
      <dgm:spPr/>
      <dgm:t>
        <a:bodyPr/>
        <a:lstStyle/>
        <a:p>
          <a:pPr algn="ctr"/>
          <a:endParaRPr lang="en-GB"/>
        </a:p>
      </dgm:t>
    </dgm:pt>
    <dgm:pt modelId="{EB376449-B1F1-4532-80BD-7229CA67006B}" type="sibTrans" cxnId="{24752180-6299-4B40-A047-1297E9F67E0F}">
      <dgm:prSet/>
      <dgm:spPr/>
      <dgm:t>
        <a:bodyPr/>
        <a:lstStyle/>
        <a:p>
          <a:pPr algn="ctr"/>
          <a:endParaRPr lang="en-GB"/>
        </a:p>
      </dgm:t>
    </dgm:pt>
    <dgm:pt modelId="{7A5CD6EF-3288-473F-B868-686E8E6F2E9A}">
      <dgm:prSet custT="1"/>
      <dgm:spPr/>
      <dgm:t>
        <a:bodyPr/>
        <a:lstStyle/>
        <a:p>
          <a:pPr algn="ctr"/>
          <a:endParaRPr lang="en-GB" sz="1000">
            <a:latin typeface="Arial" panose="020B0604020202020204" pitchFamily="34" charset="0"/>
            <a:cs typeface="Arial" panose="020B0604020202020204" pitchFamily="34" charset="0"/>
          </a:endParaRPr>
        </a:p>
        <a:p>
          <a:pPr algn="ctr"/>
          <a:r>
            <a:rPr lang="en-GB" sz="1000">
              <a:solidFill>
                <a:schemeClr val="accent4">
                  <a:lumMod val="40000"/>
                  <a:lumOff val="60000"/>
                </a:schemeClr>
              </a:solidFill>
              <a:latin typeface="Arial" panose="020B0604020202020204" pitchFamily="34" charset="0"/>
              <a:cs typeface="Arial" panose="020B0604020202020204" pitchFamily="34" charset="0"/>
            </a:rPr>
            <a:t>Project Team</a:t>
          </a:r>
        </a:p>
        <a:p>
          <a:pPr algn="ctr"/>
          <a:r>
            <a:rPr lang="en-GB" sz="1000">
              <a:latin typeface="Arial" panose="020B0604020202020204" pitchFamily="34" charset="0"/>
              <a:cs typeface="Arial" panose="020B0604020202020204" pitchFamily="34" charset="0"/>
            </a:rPr>
            <a:t>Considers performance of overall programme and impact of any issues highlighted in the monitoring and excpetion reports.  Advises on any action to be taken.</a:t>
          </a:r>
        </a:p>
      </dgm:t>
    </dgm:pt>
    <dgm:pt modelId="{2EB0DDD4-BDF3-41C4-AE67-0B49B2649339}" type="parTrans" cxnId="{00276193-5880-4A89-ABCA-E019A3B24994}">
      <dgm:prSet/>
      <dgm:spPr/>
      <dgm:t>
        <a:bodyPr/>
        <a:lstStyle/>
        <a:p>
          <a:pPr algn="ctr"/>
          <a:endParaRPr lang="en-GB"/>
        </a:p>
      </dgm:t>
    </dgm:pt>
    <dgm:pt modelId="{CE17679B-88B9-45FD-B09E-B7635B166E2F}" type="sibTrans" cxnId="{00276193-5880-4A89-ABCA-E019A3B24994}">
      <dgm:prSet/>
      <dgm:spPr/>
      <dgm:t>
        <a:bodyPr/>
        <a:lstStyle/>
        <a:p>
          <a:pPr algn="ctr"/>
          <a:endParaRPr lang="en-GB"/>
        </a:p>
      </dgm:t>
    </dgm:pt>
    <dgm:pt modelId="{62ECBF3D-FDD8-45CF-B84A-B07B4904D805}">
      <dgm:prSe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Programme Manager</a:t>
          </a:r>
        </a:p>
        <a:p>
          <a:pPr algn="ctr"/>
          <a:r>
            <a:rPr lang="en-GB" sz="1000">
              <a:latin typeface="Arial" panose="020B0604020202020204" pitchFamily="34" charset="0"/>
              <a:cs typeface="Arial" panose="020B0604020202020204" pitchFamily="34" charset="0"/>
            </a:rPr>
            <a:t>Alerts Director of Projects/Programmes to any new issues identified in monitoring report</a:t>
          </a:r>
        </a:p>
      </dgm:t>
    </dgm:pt>
    <dgm:pt modelId="{0C9063E1-DAEA-4778-9596-93D89D251BFB}" type="parTrans" cxnId="{51DFDAE8-BE4C-4647-AEAB-0C02CF2325FD}">
      <dgm:prSet/>
      <dgm:spPr/>
      <dgm:t>
        <a:bodyPr/>
        <a:lstStyle/>
        <a:p>
          <a:pPr algn="ctr"/>
          <a:endParaRPr lang="en-GB"/>
        </a:p>
      </dgm:t>
    </dgm:pt>
    <dgm:pt modelId="{9131DEEC-1420-4B3D-BA25-E20F8933CEFE}" type="sibTrans" cxnId="{51DFDAE8-BE4C-4647-AEAB-0C02CF2325FD}">
      <dgm:prSet/>
      <dgm:spPr/>
      <dgm:t>
        <a:bodyPr/>
        <a:lstStyle/>
        <a:p>
          <a:pPr algn="ctr"/>
          <a:endParaRPr lang="en-GB"/>
        </a:p>
      </dgm:t>
    </dgm:pt>
    <dgm:pt modelId="{828B5B44-3878-4E4E-9249-46AD8722D394}">
      <dgm:prSe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Programme Board</a:t>
          </a:r>
        </a:p>
        <a:p>
          <a:pPr algn="ctr"/>
          <a:r>
            <a:rPr lang="en-GB" sz="1000">
              <a:latin typeface="Arial" panose="020B0604020202020204" pitchFamily="34" charset="0"/>
              <a:cs typeface="Arial" panose="020B0604020202020204" pitchFamily="34" charset="0"/>
            </a:rPr>
            <a:t>Receives monitoring and exception reports and provides direction on future action to be taken.  Reviews all reports to be submitted to E&amp;SB.</a:t>
          </a:r>
        </a:p>
      </dgm:t>
    </dgm:pt>
    <dgm:pt modelId="{A0FF003A-AB0B-4901-92BA-A6B9B60A160F}" type="parTrans" cxnId="{B87F1273-7371-43C4-BC74-78964499222B}">
      <dgm:prSet/>
      <dgm:spPr/>
      <dgm:t>
        <a:bodyPr/>
        <a:lstStyle/>
        <a:p>
          <a:pPr algn="ctr"/>
          <a:endParaRPr lang="en-GB"/>
        </a:p>
      </dgm:t>
    </dgm:pt>
    <dgm:pt modelId="{9E8EF0C0-4ECD-4607-BB63-23531D688724}" type="sibTrans" cxnId="{B87F1273-7371-43C4-BC74-78964499222B}">
      <dgm:prSet/>
      <dgm:spPr/>
      <dgm:t>
        <a:bodyPr/>
        <a:lstStyle/>
        <a:p>
          <a:pPr algn="ctr"/>
          <a:endParaRPr lang="en-GB"/>
        </a:p>
      </dgm:t>
    </dgm:pt>
    <dgm:pt modelId="{9E242D69-166C-4416-8EA0-70AFFA33CB6C}">
      <dgm:prSe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Executive and Stewardship Board</a:t>
          </a:r>
        </a:p>
        <a:p>
          <a:pPr algn="ctr"/>
          <a:r>
            <a:rPr lang="en-GB" sz="1000">
              <a:latin typeface="Arial" panose="020B0604020202020204" pitchFamily="34" charset="0"/>
              <a:cs typeface="Arial" panose="020B0604020202020204" pitchFamily="34" charset="0"/>
            </a:rPr>
            <a:t>Receives monitoring and exception reports and authorises action to be taken.</a:t>
          </a:r>
        </a:p>
      </dgm:t>
    </dgm:pt>
    <dgm:pt modelId="{A0293431-79C7-44EA-B172-823F7899D4B4}" type="parTrans" cxnId="{BB894A19-678D-4560-AFC4-DEE83F942ED7}">
      <dgm:prSet/>
      <dgm:spPr/>
      <dgm:t>
        <a:bodyPr/>
        <a:lstStyle/>
        <a:p>
          <a:pPr algn="ctr"/>
          <a:endParaRPr lang="en-GB"/>
        </a:p>
      </dgm:t>
    </dgm:pt>
    <dgm:pt modelId="{CD9D929A-4BB8-4BE6-9430-569901D1FF9B}" type="sibTrans" cxnId="{BB894A19-678D-4560-AFC4-DEE83F942ED7}">
      <dgm:prSet/>
      <dgm:spPr/>
      <dgm:t>
        <a:bodyPr/>
        <a:lstStyle/>
        <a:p>
          <a:pPr algn="ctr"/>
          <a:endParaRPr lang="en-GB"/>
        </a:p>
      </dgm:t>
    </dgm:pt>
    <dgm:pt modelId="{ED883E39-71EF-4444-B2E0-80C139106202}">
      <dgm:prSet custT="1"/>
      <dgm:spPr/>
      <dgm:t>
        <a:bodyPr/>
        <a:lstStyle/>
        <a:p>
          <a:pPr algn="ctr"/>
          <a:r>
            <a:rPr lang="en-GB" sz="1000">
              <a:solidFill>
                <a:schemeClr val="accent4">
                  <a:lumMod val="40000"/>
                  <a:lumOff val="60000"/>
                </a:schemeClr>
              </a:solidFill>
              <a:latin typeface="Arial" panose="020B0604020202020204" pitchFamily="34" charset="0"/>
              <a:cs typeface="Arial" panose="020B0604020202020204" pitchFamily="34" charset="0"/>
            </a:rPr>
            <a:t>Programme Manager</a:t>
          </a:r>
        </a:p>
        <a:p>
          <a:pPr algn="ctr"/>
          <a:r>
            <a:rPr lang="en-GB" sz="1000">
              <a:latin typeface="Arial" panose="020B0604020202020204" pitchFamily="34" charset="0"/>
              <a:cs typeface="Arial" panose="020B0604020202020204" pitchFamily="34" charset="0"/>
            </a:rPr>
            <a:t>Communicates decisions of E&amp;SB and prepares briefing for LEP Performance Committee</a:t>
          </a:r>
        </a:p>
      </dgm:t>
    </dgm:pt>
    <dgm:pt modelId="{04CA8ECF-65A8-4F80-B0F7-58C7613291BD}" type="parTrans" cxnId="{F66251C0-1380-4772-88A9-1184671EF30F}">
      <dgm:prSet/>
      <dgm:spPr/>
      <dgm:t>
        <a:bodyPr/>
        <a:lstStyle/>
        <a:p>
          <a:pPr algn="ctr"/>
          <a:endParaRPr lang="en-GB"/>
        </a:p>
      </dgm:t>
    </dgm:pt>
    <dgm:pt modelId="{BBCB6880-4071-4B5F-838E-C5B52DC34900}" type="sibTrans" cxnId="{F66251C0-1380-4772-88A9-1184671EF30F}">
      <dgm:prSet/>
      <dgm:spPr/>
      <dgm:t>
        <a:bodyPr/>
        <a:lstStyle/>
        <a:p>
          <a:pPr algn="ctr"/>
          <a:endParaRPr lang="en-GB"/>
        </a:p>
      </dgm:t>
    </dgm:pt>
    <dgm:pt modelId="{565DE49B-BF10-45A8-81C1-E48FA2E5CD87}" type="pres">
      <dgm:prSet presAssocID="{ADC34B6A-922B-4297-8BCE-FA90DC3478A0}" presName="linearFlow" presStyleCnt="0">
        <dgm:presLayoutVars>
          <dgm:resizeHandles val="exact"/>
        </dgm:presLayoutVars>
      </dgm:prSet>
      <dgm:spPr/>
    </dgm:pt>
    <dgm:pt modelId="{0FBA95B7-70AF-411A-ACE4-4220D935D1A9}" type="pres">
      <dgm:prSet presAssocID="{3CC48525-7781-4B6E-88D7-215DBF5E1841}" presName="node" presStyleLbl="node1" presStyleIdx="0" presStyleCnt="8">
        <dgm:presLayoutVars>
          <dgm:bulletEnabled val="1"/>
        </dgm:presLayoutVars>
      </dgm:prSet>
      <dgm:spPr/>
      <dgm:t>
        <a:bodyPr/>
        <a:lstStyle/>
        <a:p>
          <a:endParaRPr lang="en-GB"/>
        </a:p>
      </dgm:t>
    </dgm:pt>
    <dgm:pt modelId="{0639D325-94B1-429A-94F5-CFA661FEC181}" type="pres">
      <dgm:prSet presAssocID="{29CEF87E-E3B5-4F65-B921-5750A469CA9A}" presName="sibTrans" presStyleLbl="sibTrans2D1" presStyleIdx="0" presStyleCnt="7"/>
      <dgm:spPr/>
      <dgm:t>
        <a:bodyPr/>
        <a:lstStyle/>
        <a:p>
          <a:endParaRPr lang="en-GB"/>
        </a:p>
      </dgm:t>
    </dgm:pt>
    <dgm:pt modelId="{2AF06162-EB93-4F89-9B76-048EE5BA98EA}" type="pres">
      <dgm:prSet presAssocID="{29CEF87E-E3B5-4F65-B921-5750A469CA9A}" presName="connectorText" presStyleLbl="sibTrans2D1" presStyleIdx="0" presStyleCnt="7"/>
      <dgm:spPr/>
      <dgm:t>
        <a:bodyPr/>
        <a:lstStyle/>
        <a:p>
          <a:endParaRPr lang="en-GB"/>
        </a:p>
      </dgm:t>
    </dgm:pt>
    <dgm:pt modelId="{3CABF40C-22DF-4E0B-888F-4C04A5BD1933}" type="pres">
      <dgm:prSet presAssocID="{62ECBF3D-FDD8-45CF-B84A-B07B4904D805}" presName="node" presStyleLbl="node1" presStyleIdx="1" presStyleCnt="8">
        <dgm:presLayoutVars>
          <dgm:bulletEnabled val="1"/>
        </dgm:presLayoutVars>
      </dgm:prSet>
      <dgm:spPr/>
      <dgm:t>
        <a:bodyPr/>
        <a:lstStyle/>
        <a:p>
          <a:endParaRPr lang="en-GB"/>
        </a:p>
      </dgm:t>
    </dgm:pt>
    <dgm:pt modelId="{F9D7EC2A-0CF7-4752-A33B-09F0A36C5D6C}" type="pres">
      <dgm:prSet presAssocID="{9131DEEC-1420-4B3D-BA25-E20F8933CEFE}" presName="sibTrans" presStyleLbl="sibTrans2D1" presStyleIdx="1" presStyleCnt="7"/>
      <dgm:spPr/>
      <dgm:t>
        <a:bodyPr/>
        <a:lstStyle/>
        <a:p>
          <a:endParaRPr lang="en-GB"/>
        </a:p>
      </dgm:t>
    </dgm:pt>
    <dgm:pt modelId="{4717FC30-A179-4665-A750-1BA3423581ED}" type="pres">
      <dgm:prSet presAssocID="{9131DEEC-1420-4B3D-BA25-E20F8933CEFE}" presName="connectorText" presStyleLbl="sibTrans2D1" presStyleIdx="1" presStyleCnt="7"/>
      <dgm:spPr/>
      <dgm:t>
        <a:bodyPr/>
        <a:lstStyle/>
        <a:p>
          <a:endParaRPr lang="en-GB"/>
        </a:p>
      </dgm:t>
    </dgm:pt>
    <dgm:pt modelId="{23DBA236-67FD-4638-8086-DE631392B6BD}" type="pres">
      <dgm:prSet presAssocID="{E27E7F2F-7069-4BB7-890D-E73B207850FC}" presName="node" presStyleLbl="node1" presStyleIdx="2" presStyleCnt="8">
        <dgm:presLayoutVars>
          <dgm:bulletEnabled val="1"/>
        </dgm:presLayoutVars>
      </dgm:prSet>
      <dgm:spPr/>
      <dgm:t>
        <a:bodyPr/>
        <a:lstStyle/>
        <a:p>
          <a:endParaRPr lang="en-GB"/>
        </a:p>
      </dgm:t>
    </dgm:pt>
    <dgm:pt modelId="{9EA708BC-DDAB-4CAE-BEF4-C765C3A38256}" type="pres">
      <dgm:prSet presAssocID="{64CDDEE1-CA5B-471B-A39D-D31D73DC55CD}" presName="sibTrans" presStyleLbl="sibTrans2D1" presStyleIdx="2" presStyleCnt="7"/>
      <dgm:spPr/>
      <dgm:t>
        <a:bodyPr/>
        <a:lstStyle/>
        <a:p>
          <a:endParaRPr lang="en-GB"/>
        </a:p>
      </dgm:t>
    </dgm:pt>
    <dgm:pt modelId="{5F62E9EB-9959-4BD0-9E0D-F6995496F79A}" type="pres">
      <dgm:prSet presAssocID="{64CDDEE1-CA5B-471B-A39D-D31D73DC55CD}" presName="connectorText" presStyleLbl="sibTrans2D1" presStyleIdx="2" presStyleCnt="7"/>
      <dgm:spPr/>
      <dgm:t>
        <a:bodyPr/>
        <a:lstStyle/>
        <a:p>
          <a:endParaRPr lang="en-GB"/>
        </a:p>
      </dgm:t>
    </dgm:pt>
    <dgm:pt modelId="{1AAB01D5-2B4B-411C-8203-9D6C04CEAD5F}" type="pres">
      <dgm:prSet presAssocID="{8C2DFD68-9358-4BFC-85DB-FDFCACE02A0E}" presName="node" presStyleLbl="node1" presStyleIdx="3" presStyleCnt="8">
        <dgm:presLayoutVars>
          <dgm:bulletEnabled val="1"/>
        </dgm:presLayoutVars>
      </dgm:prSet>
      <dgm:spPr/>
      <dgm:t>
        <a:bodyPr/>
        <a:lstStyle/>
        <a:p>
          <a:endParaRPr lang="en-GB"/>
        </a:p>
      </dgm:t>
    </dgm:pt>
    <dgm:pt modelId="{17936229-AED3-4EE7-A9FB-231A136C288E}" type="pres">
      <dgm:prSet presAssocID="{EB376449-B1F1-4532-80BD-7229CA67006B}" presName="sibTrans" presStyleLbl="sibTrans2D1" presStyleIdx="3" presStyleCnt="7"/>
      <dgm:spPr/>
      <dgm:t>
        <a:bodyPr/>
        <a:lstStyle/>
        <a:p>
          <a:endParaRPr lang="en-GB"/>
        </a:p>
      </dgm:t>
    </dgm:pt>
    <dgm:pt modelId="{5091EDBA-35DF-4E6D-BE00-524876435C02}" type="pres">
      <dgm:prSet presAssocID="{EB376449-B1F1-4532-80BD-7229CA67006B}" presName="connectorText" presStyleLbl="sibTrans2D1" presStyleIdx="3" presStyleCnt="7"/>
      <dgm:spPr/>
      <dgm:t>
        <a:bodyPr/>
        <a:lstStyle/>
        <a:p>
          <a:endParaRPr lang="en-GB"/>
        </a:p>
      </dgm:t>
    </dgm:pt>
    <dgm:pt modelId="{2C5CC79C-2E00-4FF9-B8B6-FFEC6B8D72CD}" type="pres">
      <dgm:prSet presAssocID="{7A5CD6EF-3288-473F-B868-686E8E6F2E9A}" presName="node" presStyleLbl="node1" presStyleIdx="4" presStyleCnt="8" custScaleY="136962" custLinFactNeighborX="-341" custLinFactNeighborY="-8194">
        <dgm:presLayoutVars>
          <dgm:bulletEnabled val="1"/>
        </dgm:presLayoutVars>
      </dgm:prSet>
      <dgm:spPr/>
      <dgm:t>
        <a:bodyPr/>
        <a:lstStyle/>
        <a:p>
          <a:endParaRPr lang="en-GB"/>
        </a:p>
      </dgm:t>
    </dgm:pt>
    <dgm:pt modelId="{A0818E3B-3E0A-4B69-9B63-D3BD8B80164F}" type="pres">
      <dgm:prSet presAssocID="{CE17679B-88B9-45FD-B09E-B7635B166E2F}" presName="sibTrans" presStyleLbl="sibTrans2D1" presStyleIdx="4" presStyleCnt="7"/>
      <dgm:spPr/>
      <dgm:t>
        <a:bodyPr/>
        <a:lstStyle/>
        <a:p>
          <a:endParaRPr lang="en-GB"/>
        </a:p>
      </dgm:t>
    </dgm:pt>
    <dgm:pt modelId="{DBDC2F67-FC70-4F5E-AD46-3BF194980F85}" type="pres">
      <dgm:prSet presAssocID="{CE17679B-88B9-45FD-B09E-B7635B166E2F}" presName="connectorText" presStyleLbl="sibTrans2D1" presStyleIdx="4" presStyleCnt="7"/>
      <dgm:spPr/>
      <dgm:t>
        <a:bodyPr/>
        <a:lstStyle/>
        <a:p>
          <a:endParaRPr lang="en-GB"/>
        </a:p>
      </dgm:t>
    </dgm:pt>
    <dgm:pt modelId="{4DEC2DD7-D828-49B4-AC86-7AF66950B22E}" type="pres">
      <dgm:prSet presAssocID="{828B5B44-3878-4E4E-9249-46AD8722D394}" presName="node" presStyleLbl="node1" presStyleIdx="5" presStyleCnt="8" custScaleY="95226">
        <dgm:presLayoutVars>
          <dgm:bulletEnabled val="1"/>
        </dgm:presLayoutVars>
      </dgm:prSet>
      <dgm:spPr/>
      <dgm:t>
        <a:bodyPr/>
        <a:lstStyle/>
        <a:p>
          <a:endParaRPr lang="en-GB"/>
        </a:p>
      </dgm:t>
    </dgm:pt>
    <dgm:pt modelId="{B9BE2596-24CC-485C-A1BE-23A84E809DAF}" type="pres">
      <dgm:prSet presAssocID="{9E8EF0C0-4ECD-4607-BB63-23531D688724}" presName="sibTrans" presStyleLbl="sibTrans2D1" presStyleIdx="5" presStyleCnt="7"/>
      <dgm:spPr/>
      <dgm:t>
        <a:bodyPr/>
        <a:lstStyle/>
        <a:p>
          <a:endParaRPr lang="en-GB"/>
        </a:p>
      </dgm:t>
    </dgm:pt>
    <dgm:pt modelId="{5C440B14-58CE-433A-8A8C-AB6592E02425}" type="pres">
      <dgm:prSet presAssocID="{9E8EF0C0-4ECD-4607-BB63-23531D688724}" presName="connectorText" presStyleLbl="sibTrans2D1" presStyleIdx="5" presStyleCnt="7"/>
      <dgm:spPr/>
      <dgm:t>
        <a:bodyPr/>
        <a:lstStyle/>
        <a:p>
          <a:endParaRPr lang="en-GB"/>
        </a:p>
      </dgm:t>
    </dgm:pt>
    <dgm:pt modelId="{663EEB56-4BB5-4E2E-9B41-EA3673A58B90}" type="pres">
      <dgm:prSet presAssocID="{9E242D69-166C-4416-8EA0-70AFFA33CB6C}" presName="node" presStyleLbl="node1" presStyleIdx="6" presStyleCnt="8">
        <dgm:presLayoutVars>
          <dgm:bulletEnabled val="1"/>
        </dgm:presLayoutVars>
      </dgm:prSet>
      <dgm:spPr/>
      <dgm:t>
        <a:bodyPr/>
        <a:lstStyle/>
        <a:p>
          <a:endParaRPr lang="en-GB"/>
        </a:p>
      </dgm:t>
    </dgm:pt>
    <dgm:pt modelId="{EFFAA0A7-05C0-4210-8721-F1B6C66CA526}" type="pres">
      <dgm:prSet presAssocID="{CD9D929A-4BB8-4BE6-9430-569901D1FF9B}" presName="sibTrans" presStyleLbl="sibTrans2D1" presStyleIdx="6" presStyleCnt="7"/>
      <dgm:spPr/>
      <dgm:t>
        <a:bodyPr/>
        <a:lstStyle/>
        <a:p>
          <a:endParaRPr lang="en-GB"/>
        </a:p>
      </dgm:t>
    </dgm:pt>
    <dgm:pt modelId="{2EDF1F1F-0569-4CF5-A9D7-F6AB9686B7E9}" type="pres">
      <dgm:prSet presAssocID="{CD9D929A-4BB8-4BE6-9430-569901D1FF9B}" presName="connectorText" presStyleLbl="sibTrans2D1" presStyleIdx="6" presStyleCnt="7"/>
      <dgm:spPr/>
      <dgm:t>
        <a:bodyPr/>
        <a:lstStyle/>
        <a:p>
          <a:endParaRPr lang="en-GB"/>
        </a:p>
      </dgm:t>
    </dgm:pt>
    <dgm:pt modelId="{1374CDEA-DE78-4310-9B3A-CF4FB8AF41AA}" type="pres">
      <dgm:prSet presAssocID="{ED883E39-71EF-4444-B2E0-80C139106202}" presName="node" presStyleLbl="node1" presStyleIdx="7" presStyleCnt="8">
        <dgm:presLayoutVars>
          <dgm:bulletEnabled val="1"/>
        </dgm:presLayoutVars>
      </dgm:prSet>
      <dgm:spPr/>
      <dgm:t>
        <a:bodyPr/>
        <a:lstStyle/>
        <a:p>
          <a:endParaRPr lang="en-GB"/>
        </a:p>
      </dgm:t>
    </dgm:pt>
  </dgm:ptLst>
  <dgm:cxnLst>
    <dgm:cxn modelId="{B32BA168-46A5-7C48-8B3E-DA5A4D5077AA}" type="presOf" srcId="{CE17679B-88B9-45FD-B09E-B7635B166E2F}" destId="{A0818E3B-3E0A-4B69-9B63-D3BD8B80164F}" srcOrd="0" destOrd="0" presId="urn:microsoft.com/office/officeart/2005/8/layout/process2"/>
    <dgm:cxn modelId="{9CE1C41D-17A8-394E-A4B8-3B56F109264F}" type="presOf" srcId="{8C2DFD68-9358-4BFC-85DB-FDFCACE02A0E}" destId="{1AAB01D5-2B4B-411C-8203-9D6C04CEAD5F}" srcOrd="0" destOrd="0" presId="urn:microsoft.com/office/officeart/2005/8/layout/process2"/>
    <dgm:cxn modelId="{20A3F032-2B1F-6F4B-A226-0446EE62BA6F}" type="presOf" srcId="{ADC34B6A-922B-4297-8BCE-FA90DC3478A0}" destId="{565DE49B-BF10-45A8-81C1-E48FA2E5CD87}" srcOrd="0" destOrd="0" presId="urn:microsoft.com/office/officeart/2005/8/layout/process2"/>
    <dgm:cxn modelId="{24752180-6299-4B40-A047-1297E9F67E0F}" srcId="{ADC34B6A-922B-4297-8BCE-FA90DC3478A0}" destId="{8C2DFD68-9358-4BFC-85DB-FDFCACE02A0E}" srcOrd="3" destOrd="0" parTransId="{8E31D080-466C-4C07-8216-7FCC04740508}" sibTransId="{EB376449-B1F1-4532-80BD-7229CA67006B}"/>
    <dgm:cxn modelId="{A7E1AA5A-2909-D342-87A8-839149B8F834}" type="presOf" srcId="{3CC48525-7781-4B6E-88D7-215DBF5E1841}" destId="{0FBA95B7-70AF-411A-ACE4-4220D935D1A9}" srcOrd="0" destOrd="0" presId="urn:microsoft.com/office/officeart/2005/8/layout/process2"/>
    <dgm:cxn modelId="{110D8A52-B1A5-2C44-86E0-DCDA9788319A}" type="presOf" srcId="{EB376449-B1F1-4532-80BD-7229CA67006B}" destId="{17936229-AED3-4EE7-A9FB-231A136C288E}" srcOrd="0" destOrd="0" presId="urn:microsoft.com/office/officeart/2005/8/layout/process2"/>
    <dgm:cxn modelId="{B87F1273-7371-43C4-BC74-78964499222B}" srcId="{ADC34B6A-922B-4297-8BCE-FA90DC3478A0}" destId="{828B5B44-3878-4E4E-9249-46AD8722D394}" srcOrd="5" destOrd="0" parTransId="{A0FF003A-AB0B-4901-92BA-A6B9B60A160F}" sibTransId="{9E8EF0C0-4ECD-4607-BB63-23531D688724}"/>
    <dgm:cxn modelId="{B03D4C3A-FD39-9A4B-A6BA-9F11D9C2FE72}" type="presOf" srcId="{E27E7F2F-7069-4BB7-890D-E73B207850FC}" destId="{23DBA236-67FD-4638-8086-DE631392B6BD}" srcOrd="0" destOrd="0" presId="urn:microsoft.com/office/officeart/2005/8/layout/process2"/>
    <dgm:cxn modelId="{26204667-A9C0-3E4A-83B7-402677F0A36A}" type="presOf" srcId="{29CEF87E-E3B5-4F65-B921-5750A469CA9A}" destId="{0639D325-94B1-429A-94F5-CFA661FEC181}" srcOrd="0" destOrd="0" presId="urn:microsoft.com/office/officeart/2005/8/layout/process2"/>
    <dgm:cxn modelId="{9FC7B3B5-46C3-8448-9DBE-863E537E4A8C}" type="presOf" srcId="{9131DEEC-1420-4B3D-BA25-E20F8933CEFE}" destId="{4717FC30-A179-4665-A750-1BA3423581ED}" srcOrd="1" destOrd="0" presId="urn:microsoft.com/office/officeart/2005/8/layout/process2"/>
    <dgm:cxn modelId="{68158ACD-52FF-A44E-AF3A-4F79977277D1}" type="presOf" srcId="{CE17679B-88B9-45FD-B09E-B7635B166E2F}" destId="{DBDC2F67-FC70-4F5E-AD46-3BF194980F85}" srcOrd="1" destOrd="0" presId="urn:microsoft.com/office/officeart/2005/8/layout/process2"/>
    <dgm:cxn modelId="{2896E90D-7C4F-7F43-8E72-1FDC19C22459}" type="presOf" srcId="{9E8EF0C0-4ECD-4607-BB63-23531D688724}" destId="{5C440B14-58CE-433A-8A8C-AB6592E02425}" srcOrd="1" destOrd="0" presId="urn:microsoft.com/office/officeart/2005/8/layout/process2"/>
    <dgm:cxn modelId="{D41F9F27-C108-E045-8CE1-9740392410AF}" type="presOf" srcId="{64CDDEE1-CA5B-471B-A39D-D31D73DC55CD}" destId="{9EA708BC-DDAB-4CAE-BEF4-C765C3A38256}" srcOrd="0" destOrd="0" presId="urn:microsoft.com/office/officeart/2005/8/layout/process2"/>
    <dgm:cxn modelId="{A98A65EA-A14C-DD48-8DD5-86A699744218}" type="presOf" srcId="{64CDDEE1-CA5B-471B-A39D-D31D73DC55CD}" destId="{5F62E9EB-9959-4BD0-9E0D-F6995496F79A}" srcOrd="1" destOrd="0" presId="urn:microsoft.com/office/officeart/2005/8/layout/process2"/>
    <dgm:cxn modelId="{04BF5339-8632-D844-9F83-D95C4A608C2D}" type="presOf" srcId="{62ECBF3D-FDD8-45CF-B84A-B07B4904D805}" destId="{3CABF40C-22DF-4E0B-888F-4C04A5BD1933}" srcOrd="0" destOrd="0" presId="urn:microsoft.com/office/officeart/2005/8/layout/process2"/>
    <dgm:cxn modelId="{6B55F2CA-EEE5-4F46-B2B5-7FF9A0B590ED}" type="presOf" srcId="{9131DEEC-1420-4B3D-BA25-E20F8933CEFE}" destId="{F9D7EC2A-0CF7-4752-A33B-09F0A36C5D6C}" srcOrd="0" destOrd="0" presId="urn:microsoft.com/office/officeart/2005/8/layout/process2"/>
    <dgm:cxn modelId="{00276193-5880-4A89-ABCA-E019A3B24994}" srcId="{ADC34B6A-922B-4297-8BCE-FA90DC3478A0}" destId="{7A5CD6EF-3288-473F-B868-686E8E6F2E9A}" srcOrd="4" destOrd="0" parTransId="{2EB0DDD4-BDF3-41C4-AE67-0B49B2649339}" sibTransId="{CE17679B-88B9-45FD-B09E-B7635B166E2F}"/>
    <dgm:cxn modelId="{162D4115-E391-A74E-96E2-1174B252D122}" type="presOf" srcId="{7A5CD6EF-3288-473F-B868-686E8E6F2E9A}" destId="{2C5CC79C-2E00-4FF9-B8B6-FFEC6B8D72CD}" srcOrd="0" destOrd="0" presId="urn:microsoft.com/office/officeart/2005/8/layout/process2"/>
    <dgm:cxn modelId="{49EF9529-49AC-4C4D-894A-32F07479A1A0}" type="presOf" srcId="{EB376449-B1F1-4532-80BD-7229CA67006B}" destId="{5091EDBA-35DF-4E6D-BE00-524876435C02}" srcOrd="1" destOrd="0" presId="urn:microsoft.com/office/officeart/2005/8/layout/process2"/>
    <dgm:cxn modelId="{D25BDF0A-F3B3-EC4A-A252-5B6C2B5284CA}" type="presOf" srcId="{CD9D929A-4BB8-4BE6-9430-569901D1FF9B}" destId="{2EDF1F1F-0569-4CF5-A9D7-F6AB9686B7E9}" srcOrd="1" destOrd="0" presId="urn:microsoft.com/office/officeart/2005/8/layout/process2"/>
    <dgm:cxn modelId="{AD9FDE95-0291-0B48-878F-53C2245CCB05}" type="presOf" srcId="{CD9D929A-4BB8-4BE6-9430-569901D1FF9B}" destId="{EFFAA0A7-05C0-4210-8721-F1B6C66CA526}" srcOrd="0" destOrd="0" presId="urn:microsoft.com/office/officeart/2005/8/layout/process2"/>
    <dgm:cxn modelId="{BB894A19-678D-4560-AFC4-DEE83F942ED7}" srcId="{ADC34B6A-922B-4297-8BCE-FA90DC3478A0}" destId="{9E242D69-166C-4416-8EA0-70AFFA33CB6C}" srcOrd="6" destOrd="0" parTransId="{A0293431-79C7-44EA-B172-823F7899D4B4}" sibTransId="{CD9D929A-4BB8-4BE6-9430-569901D1FF9B}"/>
    <dgm:cxn modelId="{F5675419-348B-4933-9023-4488AE8439B4}" srcId="{ADC34B6A-922B-4297-8BCE-FA90DC3478A0}" destId="{3CC48525-7781-4B6E-88D7-215DBF5E1841}" srcOrd="0" destOrd="0" parTransId="{5B449DBA-9718-4A96-8AC5-1BCE8184CC44}" sibTransId="{29CEF87E-E3B5-4F65-B921-5750A469CA9A}"/>
    <dgm:cxn modelId="{36EE8C7D-C403-CE46-97D8-E8C60D7F9CC4}" type="presOf" srcId="{828B5B44-3878-4E4E-9249-46AD8722D394}" destId="{4DEC2DD7-D828-49B4-AC86-7AF66950B22E}" srcOrd="0" destOrd="0" presId="urn:microsoft.com/office/officeart/2005/8/layout/process2"/>
    <dgm:cxn modelId="{4A42D261-BF2A-BD49-B3E3-F8097333C49F}" type="presOf" srcId="{9E8EF0C0-4ECD-4607-BB63-23531D688724}" destId="{B9BE2596-24CC-485C-A1BE-23A84E809DAF}" srcOrd="0" destOrd="0" presId="urn:microsoft.com/office/officeart/2005/8/layout/process2"/>
    <dgm:cxn modelId="{589418DE-92FA-964F-927E-ED704D8AB536}" type="presOf" srcId="{9E242D69-166C-4416-8EA0-70AFFA33CB6C}" destId="{663EEB56-4BB5-4E2E-9B41-EA3673A58B90}" srcOrd="0" destOrd="0" presId="urn:microsoft.com/office/officeart/2005/8/layout/process2"/>
    <dgm:cxn modelId="{F66251C0-1380-4772-88A9-1184671EF30F}" srcId="{ADC34B6A-922B-4297-8BCE-FA90DC3478A0}" destId="{ED883E39-71EF-4444-B2E0-80C139106202}" srcOrd="7" destOrd="0" parTransId="{04CA8ECF-65A8-4F80-B0F7-58C7613291BD}" sibTransId="{BBCB6880-4071-4B5F-838E-C5B52DC34900}"/>
    <dgm:cxn modelId="{51DFDAE8-BE4C-4647-AEAB-0C02CF2325FD}" srcId="{ADC34B6A-922B-4297-8BCE-FA90DC3478A0}" destId="{62ECBF3D-FDD8-45CF-B84A-B07B4904D805}" srcOrd="1" destOrd="0" parTransId="{0C9063E1-DAEA-4778-9596-93D89D251BFB}" sibTransId="{9131DEEC-1420-4B3D-BA25-E20F8933CEFE}"/>
    <dgm:cxn modelId="{7B589DBA-964F-4345-94AB-6980945E9876}" type="presOf" srcId="{29CEF87E-E3B5-4F65-B921-5750A469CA9A}" destId="{2AF06162-EB93-4F89-9B76-048EE5BA98EA}" srcOrd="1" destOrd="0" presId="urn:microsoft.com/office/officeart/2005/8/layout/process2"/>
    <dgm:cxn modelId="{1003D225-443D-4B5B-AE13-A3F87AB26628}" srcId="{ADC34B6A-922B-4297-8BCE-FA90DC3478A0}" destId="{E27E7F2F-7069-4BB7-890D-E73B207850FC}" srcOrd="2" destOrd="0" parTransId="{CA9C19AD-A4D5-41F3-8E79-B9E9F3261F2C}" sibTransId="{64CDDEE1-CA5B-471B-A39D-D31D73DC55CD}"/>
    <dgm:cxn modelId="{75DE181E-3B9D-844B-B2E3-848D79F4F74B}" type="presOf" srcId="{ED883E39-71EF-4444-B2E0-80C139106202}" destId="{1374CDEA-DE78-4310-9B3A-CF4FB8AF41AA}" srcOrd="0" destOrd="0" presId="urn:microsoft.com/office/officeart/2005/8/layout/process2"/>
    <dgm:cxn modelId="{F9A428A0-827B-3348-9B73-B0890D13DBDE}" type="presParOf" srcId="{565DE49B-BF10-45A8-81C1-E48FA2E5CD87}" destId="{0FBA95B7-70AF-411A-ACE4-4220D935D1A9}" srcOrd="0" destOrd="0" presId="urn:microsoft.com/office/officeart/2005/8/layout/process2"/>
    <dgm:cxn modelId="{7FEF3A66-1A37-D445-87C1-F859D32A281A}" type="presParOf" srcId="{565DE49B-BF10-45A8-81C1-E48FA2E5CD87}" destId="{0639D325-94B1-429A-94F5-CFA661FEC181}" srcOrd="1" destOrd="0" presId="urn:microsoft.com/office/officeart/2005/8/layout/process2"/>
    <dgm:cxn modelId="{06A7E933-611C-B147-B36A-05262F44B1E5}" type="presParOf" srcId="{0639D325-94B1-429A-94F5-CFA661FEC181}" destId="{2AF06162-EB93-4F89-9B76-048EE5BA98EA}" srcOrd="0" destOrd="0" presId="urn:microsoft.com/office/officeart/2005/8/layout/process2"/>
    <dgm:cxn modelId="{2570FEC9-447D-2A4F-BE4F-F837FFB94318}" type="presParOf" srcId="{565DE49B-BF10-45A8-81C1-E48FA2E5CD87}" destId="{3CABF40C-22DF-4E0B-888F-4C04A5BD1933}" srcOrd="2" destOrd="0" presId="urn:microsoft.com/office/officeart/2005/8/layout/process2"/>
    <dgm:cxn modelId="{9AB2E2BC-74EC-844C-AEEF-CA62F8875617}" type="presParOf" srcId="{565DE49B-BF10-45A8-81C1-E48FA2E5CD87}" destId="{F9D7EC2A-0CF7-4752-A33B-09F0A36C5D6C}" srcOrd="3" destOrd="0" presId="urn:microsoft.com/office/officeart/2005/8/layout/process2"/>
    <dgm:cxn modelId="{EE8C36EA-7877-BA47-9EDA-5DC3B6068FC4}" type="presParOf" srcId="{F9D7EC2A-0CF7-4752-A33B-09F0A36C5D6C}" destId="{4717FC30-A179-4665-A750-1BA3423581ED}" srcOrd="0" destOrd="0" presId="urn:microsoft.com/office/officeart/2005/8/layout/process2"/>
    <dgm:cxn modelId="{E0A10B66-AD7D-AA41-B551-2F826C2E0EB8}" type="presParOf" srcId="{565DE49B-BF10-45A8-81C1-E48FA2E5CD87}" destId="{23DBA236-67FD-4638-8086-DE631392B6BD}" srcOrd="4" destOrd="0" presId="urn:microsoft.com/office/officeart/2005/8/layout/process2"/>
    <dgm:cxn modelId="{D48A5616-5E1A-914A-9532-010FA04DFA90}" type="presParOf" srcId="{565DE49B-BF10-45A8-81C1-E48FA2E5CD87}" destId="{9EA708BC-DDAB-4CAE-BEF4-C765C3A38256}" srcOrd="5" destOrd="0" presId="urn:microsoft.com/office/officeart/2005/8/layout/process2"/>
    <dgm:cxn modelId="{117FA196-B618-1245-9F1B-D47D5BB23C29}" type="presParOf" srcId="{9EA708BC-DDAB-4CAE-BEF4-C765C3A38256}" destId="{5F62E9EB-9959-4BD0-9E0D-F6995496F79A}" srcOrd="0" destOrd="0" presId="urn:microsoft.com/office/officeart/2005/8/layout/process2"/>
    <dgm:cxn modelId="{9318D430-810A-364B-8243-B3CD33B94888}" type="presParOf" srcId="{565DE49B-BF10-45A8-81C1-E48FA2E5CD87}" destId="{1AAB01D5-2B4B-411C-8203-9D6C04CEAD5F}" srcOrd="6" destOrd="0" presId="urn:microsoft.com/office/officeart/2005/8/layout/process2"/>
    <dgm:cxn modelId="{CCC7CCE5-8A7E-644C-BAC2-1A006FFE7F3F}" type="presParOf" srcId="{565DE49B-BF10-45A8-81C1-E48FA2E5CD87}" destId="{17936229-AED3-4EE7-A9FB-231A136C288E}" srcOrd="7" destOrd="0" presId="urn:microsoft.com/office/officeart/2005/8/layout/process2"/>
    <dgm:cxn modelId="{EF7F712A-251C-6149-8744-B801B121F3EB}" type="presParOf" srcId="{17936229-AED3-4EE7-A9FB-231A136C288E}" destId="{5091EDBA-35DF-4E6D-BE00-524876435C02}" srcOrd="0" destOrd="0" presId="urn:microsoft.com/office/officeart/2005/8/layout/process2"/>
    <dgm:cxn modelId="{ABAB6493-605B-5148-853C-08E171E13688}" type="presParOf" srcId="{565DE49B-BF10-45A8-81C1-E48FA2E5CD87}" destId="{2C5CC79C-2E00-4FF9-B8B6-FFEC6B8D72CD}" srcOrd="8" destOrd="0" presId="urn:microsoft.com/office/officeart/2005/8/layout/process2"/>
    <dgm:cxn modelId="{C0444E12-3987-A24F-9C83-0D9EE4A99DB4}" type="presParOf" srcId="{565DE49B-BF10-45A8-81C1-E48FA2E5CD87}" destId="{A0818E3B-3E0A-4B69-9B63-D3BD8B80164F}" srcOrd="9" destOrd="0" presId="urn:microsoft.com/office/officeart/2005/8/layout/process2"/>
    <dgm:cxn modelId="{F9325860-0D4F-A44A-910C-2E8DB1C593BD}" type="presParOf" srcId="{A0818E3B-3E0A-4B69-9B63-D3BD8B80164F}" destId="{DBDC2F67-FC70-4F5E-AD46-3BF194980F85}" srcOrd="0" destOrd="0" presId="urn:microsoft.com/office/officeart/2005/8/layout/process2"/>
    <dgm:cxn modelId="{16B720FA-1AB5-7D49-8FDE-7A94A63EE961}" type="presParOf" srcId="{565DE49B-BF10-45A8-81C1-E48FA2E5CD87}" destId="{4DEC2DD7-D828-49B4-AC86-7AF66950B22E}" srcOrd="10" destOrd="0" presId="urn:microsoft.com/office/officeart/2005/8/layout/process2"/>
    <dgm:cxn modelId="{2B75C0C2-305C-4449-A24A-B324DCA23CFC}" type="presParOf" srcId="{565DE49B-BF10-45A8-81C1-E48FA2E5CD87}" destId="{B9BE2596-24CC-485C-A1BE-23A84E809DAF}" srcOrd="11" destOrd="0" presId="urn:microsoft.com/office/officeart/2005/8/layout/process2"/>
    <dgm:cxn modelId="{76DD9948-4633-9340-9340-BFE76DF9802C}" type="presParOf" srcId="{B9BE2596-24CC-485C-A1BE-23A84E809DAF}" destId="{5C440B14-58CE-433A-8A8C-AB6592E02425}" srcOrd="0" destOrd="0" presId="urn:microsoft.com/office/officeart/2005/8/layout/process2"/>
    <dgm:cxn modelId="{5639AAFB-8E9A-A547-84C3-750F1451B3CA}" type="presParOf" srcId="{565DE49B-BF10-45A8-81C1-E48FA2E5CD87}" destId="{663EEB56-4BB5-4E2E-9B41-EA3673A58B90}" srcOrd="12" destOrd="0" presId="urn:microsoft.com/office/officeart/2005/8/layout/process2"/>
    <dgm:cxn modelId="{485099C5-26E4-5843-99B1-E4DFBEC44C52}" type="presParOf" srcId="{565DE49B-BF10-45A8-81C1-E48FA2E5CD87}" destId="{EFFAA0A7-05C0-4210-8721-F1B6C66CA526}" srcOrd="13" destOrd="0" presId="urn:microsoft.com/office/officeart/2005/8/layout/process2"/>
    <dgm:cxn modelId="{CC3DEAEE-B8CD-5E4F-8DAA-F753FBB52B81}" type="presParOf" srcId="{EFFAA0A7-05C0-4210-8721-F1B6C66CA526}" destId="{2EDF1F1F-0569-4CF5-A9D7-F6AB9686B7E9}" srcOrd="0" destOrd="0" presId="urn:microsoft.com/office/officeart/2005/8/layout/process2"/>
    <dgm:cxn modelId="{FEFF308F-7191-E144-95B9-AA37788521B5}" type="presParOf" srcId="{565DE49B-BF10-45A8-81C1-E48FA2E5CD87}" destId="{1374CDEA-DE78-4310-9B3A-CF4FB8AF41AA}" srcOrd="14"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A95B7-70AF-411A-ACE4-4220D935D1A9}">
      <dsp:nvSpPr>
        <dsp:cNvPr id="0" name=""/>
        <dsp:cNvSpPr/>
      </dsp:nvSpPr>
      <dsp:spPr>
        <a:xfrm>
          <a:off x="967560" y="9276"/>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Monitoring Group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Collate performance information from Project Managers and prepare quarterly monitoring report.</a:t>
          </a:r>
        </a:p>
      </dsp:txBody>
      <dsp:txXfrm>
        <a:off x="987077" y="28793"/>
        <a:ext cx="2626420" cy="627329"/>
      </dsp:txXfrm>
    </dsp:sp>
    <dsp:sp modelId="{0639D325-94B1-429A-94F5-CFA661FEC181}">
      <dsp:nvSpPr>
        <dsp:cNvPr id="0" name=""/>
        <dsp:cNvSpPr/>
      </dsp:nvSpPr>
      <dsp:spPr>
        <a:xfrm rot="5400000">
          <a:off x="2175344" y="692299"/>
          <a:ext cx="249886"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210329" y="717287"/>
        <a:ext cx="179917" cy="174920"/>
      </dsp:txXfrm>
    </dsp:sp>
    <dsp:sp modelId="{3CABF40C-22DF-4E0B-888F-4C04A5BD1933}">
      <dsp:nvSpPr>
        <dsp:cNvPr id="0" name=""/>
        <dsp:cNvSpPr/>
      </dsp:nvSpPr>
      <dsp:spPr>
        <a:xfrm>
          <a:off x="967560" y="1008822"/>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Programme Manager</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Alerts Director of Projects/Programmes to any new issues identified in monitoring report</a:t>
          </a:r>
        </a:p>
      </dsp:txBody>
      <dsp:txXfrm>
        <a:off x="987077" y="1028339"/>
        <a:ext cx="2626420" cy="627329"/>
      </dsp:txXfrm>
    </dsp:sp>
    <dsp:sp modelId="{F9D7EC2A-0CF7-4752-A33B-09F0A36C5D6C}">
      <dsp:nvSpPr>
        <dsp:cNvPr id="0" name=""/>
        <dsp:cNvSpPr/>
      </dsp:nvSpPr>
      <dsp:spPr>
        <a:xfrm rot="5400000">
          <a:off x="2175344" y="1691844"/>
          <a:ext cx="249886"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210329" y="1716832"/>
        <a:ext cx="179917" cy="174920"/>
      </dsp:txXfrm>
    </dsp:sp>
    <dsp:sp modelId="{23DBA236-67FD-4638-8086-DE631392B6BD}">
      <dsp:nvSpPr>
        <dsp:cNvPr id="0" name=""/>
        <dsp:cNvSpPr/>
      </dsp:nvSpPr>
      <dsp:spPr>
        <a:xfrm>
          <a:off x="967560" y="2008367"/>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Infrastructure Delivery Steering Group</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Meets monthly.  Considers and discusses monitoring report, to idenitfy solutions to issues and agree any mitigation</a:t>
          </a:r>
        </a:p>
      </dsp:txBody>
      <dsp:txXfrm>
        <a:off x="987077" y="2027884"/>
        <a:ext cx="2626420" cy="627329"/>
      </dsp:txXfrm>
    </dsp:sp>
    <dsp:sp modelId="{9EA708BC-DDAB-4CAE-BEF4-C765C3A38256}">
      <dsp:nvSpPr>
        <dsp:cNvPr id="0" name=""/>
        <dsp:cNvSpPr/>
      </dsp:nvSpPr>
      <dsp:spPr>
        <a:xfrm rot="5400000">
          <a:off x="2175344" y="2691390"/>
          <a:ext cx="249886"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210329" y="2716378"/>
        <a:ext cx="179917" cy="174920"/>
      </dsp:txXfrm>
    </dsp:sp>
    <dsp:sp modelId="{1AAB01D5-2B4B-411C-8203-9D6C04CEAD5F}">
      <dsp:nvSpPr>
        <dsp:cNvPr id="0" name=""/>
        <dsp:cNvSpPr/>
      </dsp:nvSpPr>
      <dsp:spPr>
        <a:xfrm>
          <a:off x="967560" y="3007913"/>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solidFill>
              <a:schemeClr val="accent4">
                <a:lumMod val="40000"/>
                <a:lumOff val="60000"/>
              </a:schemeClr>
            </a:solidFill>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Programme Manager</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Prepares early exception report for Project Team drawing out significant issues highlighted in monitoring report</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 </a:t>
          </a:r>
        </a:p>
      </dsp:txBody>
      <dsp:txXfrm>
        <a:off x="987077" y="3027430"/>
        <a:ext cx="2626420" cy="627329"/>
      </dsp:txXfrm>
    </dsp:sp>
    <dsp:sp modelId="{17936229-AED3-4EE7-A9FB-231A136C288E}">
      <dsp:nvSpPr>
        <dsp:cNvPr id="0" name=""/>
        <dsp:cNvSpPr/>
      </dsp:nvSpPr>
      <dsp:spPr>
        <a:xfrm rot="5428525">
          <a:off x="2181544" y="3677285"/>
          <a:ext cx="229418"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206580" y="3712509"/>
        <a:ext cx="179917" cy="160593"/>
      </dsp:txXfrm>
    </dsp:sp>
    <dsp:sp modelId="{2C5CC79C-2E00-4FF9-B8B6-FFEC6B8D72CD}">
      <dsp:nvSpPr>
        <dsp:cNvPr id="0" name=""/>
        <dsp:cNvSpPr/>
      </dsp:nvSpPr>
      <dsp:spPr>
        <a:xfrm>
          <a:off x="958470" y="3980157"/>
          <a:ext cx="2665454" cy="9126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Project Team</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Considers performance of overall programme and impact of any issues highlighted in the monitoring and excpetion reports.  Advises on any action to be taken.</a:t>
          </a:r>
        </a:p>
      </dsp:txBody>
      <dsp:txXfrm>
        <a:off x="985201" y="4006888"/>
        <a:ext cx="2611992" cy="859203"/>
      </dsp:txXfrm>
    </dsp:sp>
    <dsp:sp modelId="{A0818E3B-3E0A-4B69-9B63-D3BD8B80164F}">
      <dsp:nvSpPr>
        <dsp:cNvPr id="0" name=""/>
        <dsp:cNvSpPr/>
      </dsp:nvSpPr>
      <dsp:spPr>
        <a:xfrm rot="5372449">
          <a:off x="2161114" y="4923132"/>
          <a:ext cx="270370"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rot="-5400000">
        <a:off x="2206015" y="4937880"/>
        <a:ext cx="179917" cy="189259"/>
      </dsp:txXfrm>
    </dsp:sp>
    <dsp:sp modelId="{4DEC2DD7-D828-49B4-AC86-7AF66950B22E}">
      <dsp:nvSpPr>
        <dsp:cNvPr id="0" name=""/>
        <dsp:cNvSpPr/>
      </dsp:nvSpPr>
      <dsp:spPr>
        <a:xfrm>
          <a:off x="967560" y="5253305"/>
          <a:ext cx="2665454" cy="6345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Programme Board</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Receives monitoring and exception reports and provides direction on future action to be taken.  Reviews all reports to be submitted to E&amp;SB.</a:t>
          </a:r>
        </a:p>
      </dsp:txBody>
      <dsp:txXfrm>
        <a:off x="986145" y="5271890"/>
        <a:ext cx="2628284" cy="597381"/>
      </dsp:txXfrm>
    </dsp:sp>
    <dsp:sp modelId="{B9BE2596-24CC-485C-A1BE-23A84E809DAF}">
      <dsp:nvSpPr>
        <dsp:cNvPr id="0" name=""/>
        <dsp:cNvSpPr/>
      </dsp:nvSpPr>
      <dsp:spPr>
        <a:xfrm rot="5400000">
          <a:off x="2175344" y="5904516"/>
          <a:ext cx="249886"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210329" y="5929504"/>
        <a:ext cx="179917" cy="174920"/>
      </dsp:txXfrm>
    </dsp:sp>
    <dsp:sp modelId="{663EEB56-4BB5-4E2E-9B41-EA3673A58B90}">
      <dsp:nvSpPr>
        <dsp:cNvPr id="0" name=""/>
        <dsp:cNvSpPr/>
      </dsp:nvSpPr>
      <dsp:spPr>
        <a:xfrm>
          <a:off x="967560" y="6221039"/>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Executive and Stewardship Board</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Receives monitoring and exception reports and authorises action to be taken.</a:t>
          </a:r>
        </a:p>
      </dsp:txBody>
      <dsp:txXfrm>
        <a:off x="987077" y="6240556"/>
        <a:ext cx="2626420" cy="627329"/>
      </dsp:txXfrm>
    </dsp:sp>
    <dsp:sp modelId="{EFFAA0A7-05C0-4210-8721-F1B6C66CA526}">
      <dsp:nvSpPr>
        <dsp:cNvPr id="0" name=""/>
        <dsp:cNvSpPr/>
      </dsp:nvSpPr>
      <dsp:spPr>
        <a:xfrm rot="5400000">
          <a:off x="2175344" y="6904061"/>
          <a:ext cx="249886" cy="29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210329" y="6929049"/>
        <a:ext cx="179917" cy="174920"/>
      </dsp:txXfrm>
    </dsp:sp>
    <dsp:sp modelId="{1374CDEA-DE78-4310-9B3A-CF4FB8AF41AA}">
      <dsp:nvSpPr>
        <dsp:cNvPr id="0" name=""/>
        <dsp:cNvSpPr/>
      </dsp:nvSpPr>
      <dsp:spPr>
        <a:xfrm>
          <a:off x="967560" y="7220584"/>
          <a:ext cx="2665454" cy="6663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accent4">
                  <a:lumMod val="40000"/>
                  <a:lumOff val="60000"/>
                </a:schemeClr>
              </a:solidFill>
              <a:latin typeface="Arial" panose="020B0604020202020204" pitchFamily="34" charset="0"/>
              <a:cs typeface="Arial" panose="020B0604020202020204" pitchFamily="34" charset="0"/>
            </a:rPr>
            <a:t>Programme Manager</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Communicates decisions of E&amp;SB and prepares briefing for LEP Performance Committee</a:t>
          </a:r>
        </a:p>
      </dsp:txBody>
      <dsp:txXfrm>
        <a:off x="987077" y="7240101"/>
        <a:ext cx="2626420" cy="6273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3057</Words>
  <Characters>17425</Characters>
  <Application>Microsoft Office Word</Application>
  <DocSecurity>0</DocSecurity>
  <Lines>145</Lines>
  <Paragraphs>40</Paragraphs>
  <MMClips>0</MMClip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Joanne</dc:creator>
  <cp:lastModifiedBy>Milroy, Andy</cp:lastModifiedBy>
  <cp:revision>7</cp:revision>
  <dcterms:created xsi:type="dcterms:W3CDTF">2016-08-31T16:44:00Z</dcterms:created>
  <dcterms:modified xsi:type="dcterms:W3CDTF">2016-09-01T08:51:00Z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706818876</vt:i4>
  </property>
  <property fmtid="{D5CDD505-2E9C-101B-9397-08002B2CF9AE}" pid="3" name="_NewReviewCycle">
    <vt:lpwstr/>
  </property>
  <property fmtid="{D5CDD505-2E9C-101B-9397-08002B2CF9AE}" pid="4" name="_EmailSubject">
    <vt:lpwstr>Performance committee briefing 06 - KM Amendments 310816.docx</vt:lpwstr>
  </property>
  <property fmtid="{D5CDD505-2E9C-101B-9397-08002B2CF9AE}" pid="5" name="_AuthorEmail">
    <vt:lpwstr>C.Hayward@preston.gov.uk</vt:lpwstr>
  </property>
  <property fmtid="{D5CDD505-2E9C-101B-9397-08002B2CF9AE}" pid="6" name="_AuthorEmailDisplayName">
    <vt:lpwstr>Chris Hayward</vt:lpwstr>
  </property>
  <property fmtid="{D5CDD505-2E9C-101B-9397-08002B2CF9AE}" pid="7" name="_ReviewingToolsShownOnce">
    <vt:lpwstr/>
  </property>
</Properties>
</file>